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ECC1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spellStart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Ministerul</w:t>
      </w:r>
      <w:proofErr w:type="spellEnd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Transporturilor</w:t>
      </w:r>
      <w:proofErr w:type="spellEnd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Infrastructurii</w:t>
      </w:r>
      <w:proofErr w:type="spellEnd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- </w:t>
      </w:r>
      <w:proofErr w:type="spellStart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Ordin</w:t>
      </w:r>
      <w:proofErr w:type="spellEnd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nr. 994/2023 din 27 </w:t>
      </w:r>
      <w:proofErr w:type="spellStart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aprilie</w:t>
      </w:r>
      <w:proofErr w:type="spellEnd"/>
      <w:r w:rsidRPr="003F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2023</w:t>
      </w:r>
    </w:p>
    <w:p w14:paraId="529591FC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488"/>
        <w:gridCol w:w="936"/>
      </w:tblGrid>
      <w:tr w:rsidR="003F244C" w:rsidRPr="003F244C" w14:paraId="0F719AE4" w14:textId="77777777" w:rsidTr="003F244C"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E63A3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113E0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  </w:t>
            </w:r>
          </w:p>
          <w:p w14:paraId="0E8670C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Ordinul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nr. 994/2023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modificarea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completarea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Ordinului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ministrului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transporturilor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nr. 1.079/2014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stabilirea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procedurilor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evidenţa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înmatricularea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ambarcaţiunilor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agrement,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condiţiile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tehnice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încadrarea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cu personal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navigant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acestora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avizarea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operatorilor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economici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desfăşurarea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activităţilor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agrement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nautic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  </w:t>
            </w:r>
          </w:p>
          <w:p w14:paraId="56A09C04" w14:textId="77777777" w:rsidR="003F244C" w:rsidRPr="003F244C" w:rsidRDefault="003F244C" w:rsidP="003F244C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A8E219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C5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FC5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vigoare</w:t>
            </w:r>
            <w:proofErr w:type="spellEnd"/>
            <w:r w:rsidRPr="00FC5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de la 28 </w:t>
            </w:r>
            <w:proofErr w:type="spellStart"/>
            <w:r w:rsidRPr="00FC5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FC5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2023</w:t>
            </w:r>
          </w:p>
          <w:p w14:paraId="69AC6DE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701506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Publicat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Monitorul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Oficial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Partea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I nr. 367 din 28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aprilie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2023.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Formă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aplicabilă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la </w:t>
            </w:r>
            <w:hyperlink r:id="rId4" w:history="1">
              <w:r w:rsidRPr="003F244C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4"/>
                  <w:szCs w:val="24"/>
                  <w:lang w:val="en-US"/>
                </w:rPr>
                <w:t xml:space="preserve">28 </w:t>
              </w:r>
              <w:proofErr w:type="spellStart"/>
              <w:r w:rsidRPr="003F244C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4"/>
                  <w:szCs w:val="24"/>
                  <w:lang w:val="en-US"/>
                </w:rPr>
                <w:t>mai</w:t>
              </w:r>
              <w:proofErr w:type="spellEnd"/>
              <w:r w:rsidRPr="003F244C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4"/>
                  <w:szCs w:val="24"/>
                  <w:lang w:val="en-US"/>
                </w:rPr>
                <w:t xml:space="preserve"> 2023</w:t>
              </w:r>
            </w:hyperlink>
            <w:r w:rsidRPr="003F2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14:paraId="2875265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F244C" w:rsidRPr="003F244C" w14:paraId="45268E66" w14:textId="77777777" w:rsidTr="001A7DC8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14:paraId="32A6D42D" w14:textId="77777777" w:rsidR="003F244C" w:rsidRPr="003F244C" w:rsidRDefault="003F244C" w:rsidP="003F24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244C" w:rsidRPr="003F244C" w14:paraId="4BAD3ACE" w14:textId="77777777" w:rsidTr="001A7DC8">
              <w:trPr>
                <w:jc w:val="right"/>
                <w:hidden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3CD17CCB" w14:textId="77777777" w:rsidR="003F244C" w:rsidRPr="003F244C" w:rsidRDefault="003F244C" w:rsidP="003F24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FB5E07A" w14:textId="77777777" w:rsidR="003F244C" w:rsidRPr="003F244C" w:rsidRDefault="003F244C" w:rsidP="003F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44FC5E4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   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Având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vedere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  </w:t>
      </w:r>
    </w:p>
    <w:p w14:paraId="536783FC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val="en-US"/>
        </w:rPr>
        <w:t>-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Referatul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Direcţiei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transport naval nr. 7.786/495 din 15.03.2023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Ordinului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viceprim-ministrului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ministrul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transporturilor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infrastructurii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Ordinului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ministrului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transporturilor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 1.079/2014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stabilirea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procedurilor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evidenţa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înmatricularea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ambarcaţiunilor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agrement,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condiţiile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personal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navigant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acestora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avizarea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operatorilor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economici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desfăşurarea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activităţilor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nautic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  </w:t>
      </w:r>
    </w:p>
    <w:p w14:paraId="453F3150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val="en-US"/>
        </w:rPr>
        <w:t>-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art. 12 lit. g),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l)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s)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Ordonanţa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 19/1997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transporturile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republicată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ale art. 6-25, 29-36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38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Hotărârea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 245/2003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Regulamentului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aplicare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Ordonanţei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 42/1997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naval,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ale art. 7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(1)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Hotărârea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 452/2003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desfăşurarea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nautic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  </w:t>
      </w:r>
    </w:p>
    <w:p w14:paraId="2453B0F1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   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conformitate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cu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prevederile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art. 7 lit. e), h)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m), art. 45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alin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(2), art. 50, 51, art. 51</w:t>
      </w: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1</w:t>
      </w: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alin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(5)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ale art. 51</w:t>
      </w: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11</w:t>
      </w: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din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Ordonanţa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nr. 42/1997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transportul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maritim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pe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căile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navigabile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interioare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republicată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cu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modificările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completările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ulterioare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  </w:t>
      </w:r>
    </w:p>
    <w:p w14:paraId="39B7D016" w14:textId="77777777" w:rsidR="003F244C" w:rsidRPr="003F244C" w:rsidRDefault="003F244C" w:rsidP="00FC52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   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temeiul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prevederilor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art. 9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alin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(4) din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Hotărârea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nr. 370/2021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organizarea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funcţionarea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Ministerului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Transporturilor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Infrastructurii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cu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modificările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completările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ulterioare</w:t>
      </w:r>
      <w:proofErr w:type="spellEnd"/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3F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br/>
        <w:t xml:space="preserve">  </w:t>
      </w:r>
    </w:p>
    <w:p w14:paraId="5BB6C138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viceprim-ministrul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ministrul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transporturilor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infrastructurii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emite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  </w:t>
      </w:r>
    </w:p>
    <w:p w14:paraId="0D1F6A66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Art. I. -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Ordinul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ministrului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transporturilor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 1.079/2014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stabilirea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procedurilor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evidenţa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înmatricularea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ambarcaţiunilor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agrement,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condiţiile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personal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navigant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acestora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avizarea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operatorilor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economici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desfăşurarea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activităţilor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nautic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publicat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Oficial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României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I, nr. 560 din 29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iulie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2014,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cum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  </w:t>
      </w:r>
    </w:p>
    <w:p w14:paraId="0941717F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1.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Articolul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71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următorul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cuprins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  </w:t>
      </w:r>
    </w:p>
    <w:p w14:paraId="2EABCF95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" 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lang w:val="en-US"/>
        </w:rPr>
        <w:t>Art. 71. -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  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</w:t>
      </w:r>
      <w:proofErr w:type="gramEnd"/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1)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fi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supuse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următoarelor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obligatorii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  </w:t>
      </w:r>
    </w:p>
    <w:p w14:paraId="104754AF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E0E0F0"/>
          <w:lang w:val="en-US"/>
        </w:rPr>
        <w:t>1.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iniţială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  </w:t>
      </w:r>
    </w:p>
    <w:p w14:paraId="1B8870FA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lastRenderedPageBreak/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a)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efectuează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înmatricularea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înscrierea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evidenţă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fi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executată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scopul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verificării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respectării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normelor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vigoare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referitoare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proiectare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construcţie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siguranţă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prevenirea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poluării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structurii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maşinilor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echipamentului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inventarului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salvare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siguranţă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;  </w:t>
      </w:r>
    </w:p>
    <w:p w14:paraId="5C62F186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b)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urma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iniţiale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emite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Raportul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vederea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înmatriculării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înscrierii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evidenţă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;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Raportul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valabil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5 ani, care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fi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însoţit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un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inventar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al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echipamentelor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salvare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siguranţă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care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trebuie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fie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bordul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conformitate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 zona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precum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Permisul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valabil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5 ani.  </w:t>
      </w:r>
    </w:p>
    <w:p w14:paraId="5AD87F30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E0E0F0"/>
          <w:lang w:val="en-US"/>
        </w:rPr>
        <w:t>2.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reînnoire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permisului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  </w:t>
      </w:r>
    </w:p>
    <w:p w14:paraId="3E9448A7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a)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efectuează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din 5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5 ani (± 3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luni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);  </w:t>
      </w:r>
    </w:p>
    <w:p w14:paraId="59B3FDF1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b)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verifică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datele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identificare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ale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motoarelor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acesteia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(cod CIN,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serii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marcaje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inscripţii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etc.);  </w:t>
      </w:r>
    </w:p>
    <w:p w14:paraId="6921E722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c)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verifică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integritatea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după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caz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condiţiile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verificabile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anexa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nr. 1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Hotărârea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nr. 464/2017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motovehiculele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nautice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sau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normele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construcţie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cazul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care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consideră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necesar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la o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perioadă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minimum 5 ani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poate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solicita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pe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uscat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corpului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;  </w:t>
      </w:r>
    </w:p>
    <w:p w14:paraId="54ACE25C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d)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verifică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echipamentele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salvare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siguranţă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echipamentul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nautic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Când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aceste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echipamente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sunt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însoţite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certificate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calitate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garanţie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acestea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pot fi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luate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considerare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;  </w:t>
      </w:r>
    </w:p>
    <w:p w14:paraId="0774C98E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e)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verifică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documentaţia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publicaţiile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instrucţiunile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bord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categoria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proiectare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categoria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proiectare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B.  </w:t>
      </w:r>
    </w:p>
    <w:p w14:paraId="2664EFCE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E0E0F0"/>
          <w:lang w:val="en-US"/>
        </w:rPr>
        <w:t>3.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ocazională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efectuează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una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dintre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următoarele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situaţii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  </w:t>
      </w:r>
    </w:p>
    <w:p w14:paraId="0950738D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a)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solicitarea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proprietarului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când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produc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modificări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ale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datelor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înlocuirea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motorului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modificări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constructive;  </w:t>
      </w:r>
    </w:p>
    <w:p w14:paraId="6E6DA729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b)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solicitarea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proprietarului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scopul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trecerii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activităţi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scop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personal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activităţi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scop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comercial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;  </w:t>
      </w:r>
    </w:p>
    <w:p w14:paraId="7FB2BFE9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c)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cererea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unui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organ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judiciar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;  </w:t>
      </w:r>
    </w:p>
    <w:p w14:paraId="07793CC4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shd w:val="clear" w:color="auto" w:fill="E0E0F0"/>
          <w:lang w:val="en-US"/>
        </w:rPr>
        <w:t>d)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iniţiativa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motivată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autorităţii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competente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atunci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când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există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informaţii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fondate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despre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fapte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putea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pune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pericol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siguranţa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persoanelor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bord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sau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preveni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poluarea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mediului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ambiant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  </w:t>
      </w:r>
    </w:p>
    <w:p w14:paraId="511CED10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(2)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prevăzute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alin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 (1)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efectuează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port/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oficii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/inspectorate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orice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tip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agrement.  </w:t>
      </w:r>
    </w:p>
    <w:p w14:paraId="5DBF720D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(3)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Permisul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eliberează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primul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ciclu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5 ani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către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persoana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autorizată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care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emis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raportul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iniţial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înmatricularea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înscrierea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evidenţă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iar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următoarele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cicluri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port/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oficiile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/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inspectoratele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orice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tip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agrement.  </w:t>
      </w:r>
    </w:p>
    <w:p w14:paraId="14874480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(4)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iniţiale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rapoartele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vederea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înmatriculării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înscrierii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evidenţă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rapoartele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vederea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eliberării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permisului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emiterea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permisului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prevăzute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art. 3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efectuează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inspectoratele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  </w:t>
      </w:r>
    </w:p>
    <w:p w14:paraId="245BABEF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(5)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Raportul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vederea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înmatriculării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înscrierii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evidenţă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eliberează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termen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5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zile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lucrătoare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la data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depunerii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documentelor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  </w:t>
      </w:r>
    </w:p>
    <w:p w14:paraId="6BDFA399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(6)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CIAA/CAA se </w:t>
      </w:r>
      <w:proofErr w:type="spellStart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emite</w:t>
      </w:r>
      <w:proofErr w:type="spellEnd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termen</w:t>
      </w:r>
      <w:proofErr w:type="spellEnd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15 </w:t>
      </w:r>
      <w:proofErr w:type="spellStart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zile</w:t>
      </w:r>
      <w:proofErr w:type="spellEnd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lucrătoare</w:t>
      </w:r>
      <w:proofErr w:type="spellEnd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la data </w:t>
      </w:r>
      <w:proofErr w:type="spellStart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depunerii</w:t>
      </w:r>
      <w:proofErr w:type="spellEnd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documentelor</w:t>
      </w:r>
      <w:proofErr w:type="spellEnd"/>
      <w:r w:rsidRPr="00FC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  </w:t>
      </w:r>
    </w:p>
    <w:p w14:paraId="7D941220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(7)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Permisul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eliberează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concomitent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 CIAA/CAA."  </w:t>
      </w:r>
    </w:p>
    <w:p w14:paraId="3488450B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2.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articolul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71 se introduce un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articol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art. 71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următorul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cuprins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  </w:t>
      </w:r>
    </w:p>
    <w:p w14:paraId="6ACD94BB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   " 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lang w:val="en-US"/>
        </w:rPr>
        <w:t>Art. 71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vertAlign w:val="superscript"/>
          <w:lang w:val="en-US"/>
        </w:rPr>
        <w:t>1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lang w:val="en-US"/>
        </w:rPr>
        <w:t>. -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  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</w:t>
      </w:r>
      <w:proofErr w:type="gramEnd"/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1)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cu care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desfăşoară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activităţi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transport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persoane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scop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comercial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cu care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desfăşoară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activităţi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nautic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fi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supuse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unei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obligatorii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intermediare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între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al 2-lea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al 3-lea an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intervalul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5 ani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valabilitate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permisului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  </w:t>
      </w:r>
    </w:p>
    <w:p w14:paraId="6BCFACB0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(2)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prevăzute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alin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 (1)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efectuează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port/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oficii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/inspectorate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tehnice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conformitate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prevederile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art. 71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alin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 (1) pct. 2 lit. b)-e)."  </w:t>
      </w:r>
    </w:p>
    <w:p w14:paraId="1920C55D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3.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articolul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72,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alineatul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(1)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următorul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cuprins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  </w:t>
      </w:r>
    </w:p>
    <w:p w14:paraId="19404A25" w14:textId="77777777" w:rsidR="003F244C" w:rsidRPr="003F244C" w:rsidRDefault="003F244C" w:rsidP="00FC522E">
      <w:pPr>
        <w:shd w:val="clear" w:color="auto" w:fill="E0E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" 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lang w:val="en-US"/>
        </w:rPr>
        <w:t>Art. 72. -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  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</w:t>
      </w:r>
      <w:proofErr w:type="gramEnd"/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1)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exclusiv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motovehiculele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nautice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trebuie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aibă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bord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echipamentele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armare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siguranţă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funcţie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limitele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zonei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navigaţie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(I, M/4, M/3, M/2, M/1, M/0)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stabilite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ANR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fiecare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caz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parte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(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cadrul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categoriei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proiectare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bookmarkStart w:id="0" w:name="_GoBack"/>
      <w:bookmarkEnd w:id="0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),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după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cum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urmează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: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br/>
        <w:t xml:space="preserve">  </w:t>
      </w:r>
    </w:p>
    <w:p w14:paraId="52691A3F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401"/>
        <w:gridCol w:w="914"/>
        <w:gridCol w:w="914"/>
        <w:gridCol w:w="914"/>
        <w:gridCol w:w="914"/>
        <w:gridCol w:w="914"/>
        <w:gridCol w:w="1090"/>
      </w:tblGrid>
      <w:tr w:rsidR="003F244C" w:rsidRPr="003F244C" w14:paraId="7D696549" w14:textId="77777777" w:rsidTr="003F244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0D48E" w14:textId="77777777" w:rsidR="003F244C" w:rsidRPr="003F244C" w:rsidRDefault="003F244C" w:rsidP="003F244C">
            <w:pPr>
              <w:shd w:val="clear" w:color="auto" w:fill="E0E0F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0E0F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7141D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B9626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BDBCB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B9FC3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CCB58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1A332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E7FCA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44C" w:rsidRPr="003F244C" w14:paraId="0F46E3B9" w14:textId="77777777" w:rsidTr="003F244C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F99EE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1156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Zona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navigaţie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EF75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4C10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M/4 6 Mm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D979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M/3 20 Mm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C326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M/2 50 Mm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5562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M/1 200 Mm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708B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M/0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Nelimitat</w:t>
            </w:r>
            <w:proofErr w:type="spellEnd"/>
          </w:p>
        </w:tc>
      </w:tr>
      <w:tr w:rsidR="003F244C" w:rsidRPr="003F244C" w14:paraId="698E5DAE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F85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6DE8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4AE1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7DDF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BCB6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76432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B9EF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E4A8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F244C" w:rsidRPr="003F244C" w14:paraId="10177437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CDC5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DC05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Echipamente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obligatorii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bord</w:t>
            </w:r>
            <w:proofErr w:type="spellEnd"/>
          </w:p>
        </w:tc>
      </w:tr>
      <w:tr w:rsidR="003F244C" w:rsidRPr="003F244C" w14:paraId="3F0BDBAA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2097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20FDF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Compas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magnetic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7986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DAE2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01EF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D08DB2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D8C6B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4B7D1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1EDB4232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6D49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65170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F127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39AA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18A9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9F392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01C4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AAA7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0E827D57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7484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C12D9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Anemometru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9BE6E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F4E342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F4A8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BA21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6464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2667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2823E25F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F215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FAD73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Barometru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2DE54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C0A53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8FD89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52B5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C869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339F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4FAF3C47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012F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4F111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Binoclu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naval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0D06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7ADE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96358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05D0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CA47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F20E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4345C84C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8464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C4358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Ceas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059F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1922A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2BE5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5D553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9A123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8B00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0166A98F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1D79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87661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Sondă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mână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2156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B995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64352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17AE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55C3A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F59D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75B634C9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3909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FC3B0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lanternă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etanşe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2DE0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D6B8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29C2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D053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1DA1A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03CB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7F452549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3E9F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3BF1D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Facle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roşii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mână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7843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8132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73FC4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2680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E3AA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9CC52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F244C" w:rsidRPr="003F244C" w14:paraId="782B0BFF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46ED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CD166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Semnale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fumigene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plutitoare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9FEB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3E537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55FB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5B4A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EFC43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7DE6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F244C" w:rsidRPr="003F244C" w14:paraId="1273C864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8310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FE5320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Rachete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paraşută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roşii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7F48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D9DD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DFC8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EA23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D0D3A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524D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F244C" w:rsidRPr="003F244C" w14:paraId="3048D28E" w14:textId="77777777" w:rsidTr="003F244C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B6E3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1FC4D7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Veste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salvare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fluier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lumină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semnalizare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model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aprobat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standardului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 393, 395, 396, 399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CF410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pers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D6F2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pers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CD51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pers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7FBF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pers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940E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pers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C2E4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pers</w:t>
            </w:r>
          </w:p>
        </w:tc>
      </w:tr>
      <w:tr w:rsidR="003F244C" w:rsidRPr="003F244C" w14:paraId="3504A7A3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6D3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5032A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Colac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salvare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saulă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74BF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AC15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07E25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25B2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FA83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14C63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3F244C" w:rsidRPr="003F244C" w14:paraId="5A50BA7E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FDD8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23832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Plută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salvare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299D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40E5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60B0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1B79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D614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A45B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1344B69C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F652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7E918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Radiotelefon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UUS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portabil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A647C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DC76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7E0A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375B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8975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1FF8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39A00F61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E4CF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BCAAD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Radiotelefon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UUS fix cu DSC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1B4BA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31D5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A59B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1A982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0D81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CF9BF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5DC056A0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C76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0284A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Receptor NAVTEX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65402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1A24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A3CB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79BD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311E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13841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0EC88AB9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82F4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9EFD6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Radiobaliză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/EPIRB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2BE0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420CB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E4BA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82B1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9F5C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5FC9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7286ADDA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E887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60BFC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Transponder radar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46725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DBC3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9610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BBFA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94446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130B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6C239D7C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8681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D7FB0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Trusă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prim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ajutor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8542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17ED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DBBEC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25C1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4A87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C0A91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44BB15AF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D9ED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3CDF5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Reflector radar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13C1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C3E8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70BD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1E38A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0611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A9EC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60DA2E19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BB40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6B8D5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Ghiordel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ispol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9D64A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B00A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50A6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C849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E805D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44F7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+ 1</w:t>
            </w:r>
          </w:p>
        </w:tc>
      </w:tr>
      <w:tr w:rsidR="003F244C" w:rsidRPr="003F244C" w14:paraId="3BB3DA02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75E0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02B48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Cuţit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994E1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56F2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6A1E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E209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51C7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2ED3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75E904B7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55F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50E8E0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Cange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telescopică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2A9A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2273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6EC0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6A99B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8105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8CEF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500C66C2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6CDA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C4C2C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Ancoră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5-15 kg cu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parâmă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saulă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aferentă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20 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2F8E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42D6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EC70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6F02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7C502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BDCA7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2F58B5BB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F72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D0C87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Stingător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portabil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kg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6841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53EA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1EC5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1433E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8C3A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7565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1(2)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3F244C" w:rsidRPr="003F244C" w14:paraId="04ECF41B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0842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1A8F0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Echipamente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recomandate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opţionale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bord</w:t>
            </w:r>
            <w:proofErr w:type="spellEnd"/>
          </w:p>
        </w:tc>
      </w:tr>
      <w:tr w:rsidR="003F244C" w:rsidRPr="003F244C" w14:paraId="62C18AC5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D620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5DB64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Inmarsat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MF/HF (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transmiţător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cu DSC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E5E0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AE09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766F0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E0A2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2947B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25DB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6EE0564F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5936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4256B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Radiotelefon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UUS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portabil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C354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5334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DB52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3BDBD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D507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5007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F244C" w:rsidRPr="003F244C" w14:paraId="41DA2551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BF68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0E881D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Parâmă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legare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mal de 5 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8BB4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50DE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3F7F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D9C4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0EA77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FCA8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F244C" w:rsidRPr="003F244C" w14:paraId="14CA29F0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660B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8AFC9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Parâmă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remorcare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25 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C760F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99CE3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9816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37243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42D5D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D203B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73E93E43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7A00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81E23C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Baloane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acostare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D1078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1A262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564E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DC6F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7D18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ADAD9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3-4</w:t>
            </w:r>
          </w:p>
        </w:tc>
      </w:tr>
      <w:tr w:rsidR="003F244C" w:rsidRPr="003F244C" w14:paraId="2B62DCB7" w14:textId="77777777" w:rsidTr="003F244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68A66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F840D9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Trusă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vitalitate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DC9DD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05F95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F913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2229A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635F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F09A78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F244C" w:rsidRPr="003F244C" w14:paraId="3FFC5AB1" w14:textId="77777777" w:rsidTr="003F244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A1A59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16ED9" w14:textId="77777777" w:rsidR="003F244C" w:rsidRPr="003F244C" w:rsidRDefault="003F244C" w:rsidP="003F2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Ancoră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plutitoare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63C40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2065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92B91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9920DC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E60D4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574BE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4F2FFE95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</w:p>
    <w:p w14:paraId="7F468280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2E8B57"/>
          <w:sz w:val="24"/>
          <w:szCs w:val="24"/>
          <w:shd w:val="clear" w:color="auto" w:fill="E0E0F0"/>
          <w:vertAlign w:val="superscript"/>
          <w:lang w:val="en-US"/>
        </w:rPr>
        <w:t>1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lungime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mai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mare de 10 m: 2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colaci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   </w:t>
      </w:r>
    </w:p>
    <w:p w14:paraId="4F0969AD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2E8B57"/>
          <w:sz w:val="24"/>
          <w:szCs w:val="24"/>
          <w:shd w:val="clear" w:color="auto" w:fill="E0E0F0"/>
          <w:vertAlign w:val="superscript"/>
          <w:lang w:val="en-US"/>
        </w:rPr>
        <w:t>2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Pentru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puterea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motorului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mai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mare de 150 kW: 2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stingătoare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."  </w:t>
      </w:r>
    </w:p>
    <w:p w14:paraId="3727F162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E0E0F0"/>
          <w:lang w:val="en-US"/>
        </w:rPr>
        <w:t>4.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articolul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74,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alineatul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(2)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modifică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avea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următorul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cuprins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  </w:t>
      </w:r>
    </w:p>
    <w:p w14:paraId="126406C9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   " </w:t>
      </w:r>
      <w:r w:rsidRPr="003F244C"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shd w:val="clear" w:color="auto" w:fill="E0E0F0"/>
          <w:lang w:val="en-US"/>
        </w:rPr>
        <w:t>(2)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Dovada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îndeplinirii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condiţiilor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aptitudine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medicală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face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certificat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medical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certificat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psihologic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emise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cel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mult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3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luni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înainte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data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înscrierii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examen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eliberate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medicul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familie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un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psiholog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sau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o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policlinică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care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ateste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starea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sănătate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special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punctul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vedere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al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acuităţii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vizuale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auditive."  </w:t>
      </w:r>
    </w:p>
    <w:p w14:paraId="2264F9C1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E0E0F0"/>
          <w:lang w:val="en-US"/>
        </w:rPr>
        <w:t>5.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După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articolul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82 se introduce un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nou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articol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, art. 82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vertAlign w:val="superscript"/>
          <w:lang w:val="en-US"/>
        </w:rPr>
        <w:t>1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următorul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cuprins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:  </w:t>
      </w:r>
    </w:p>
    <w:p w14:paraId="16CE2573" w14:textId="77777777" w:rsidR="003F244C" w:rsidRPr="003F244C" w:rsidRDefault="003F244C" w:rsidP="003F244C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   " 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lang w:val="en-US"/>
        </w:rPr>
        <w:t>Art. 82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vertAlign w:val="superscript"/>
          <w:lang w:val="en-US"/>
        </w:rPr>
        <w:t>1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lang w:val="en-US"/>
        </w:rPr>
        <w:t>. -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 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dispoziţie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directorului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zonale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stabilesc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persoanele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din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cadrul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port/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oficiilor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căpitănie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autorizate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efectueze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inspecţiile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prevăzute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prezentul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ordin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."  </w:t>
      </w:r>
    </w:p>
    <w:p w14:paraId="7D7F796D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E0E0F0"/>
          <w:lang w:val="en-US"/>
        </w:rPr>
        <w:t>6.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tot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cuprinsul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ordinului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sintagma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"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Hotărârii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nr. 2.195/2004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stabilirea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condiţiilor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introducere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pe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piaţă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/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sau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punere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funcţiune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gram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</w:t>
      </w:r>
      <w:proofErr w:type="gram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ambarcaţiunilor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agrement"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modifică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înlocuieşte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cu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sintagma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"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Hotărârii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Guvernului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nr. 464/2017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privind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ambarcaţiunile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agrement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motovehiculele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nautice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".  </w:t>
      </w:r>
    </w:p>
    <w:p w14:paraId="1E6243D6" w14:textId="77777777" w:rsidR="003F244C" w:rsidRPr="003F244C" w:rsidRDefault="003F244C" w:rsidP="001A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   </w:t>
      </w:r>
      <w:r w:rsidRPr="003F24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E0E0F0"/>
          <w:lang w:val="en-US"/>
        </w:rPr>
        <w:t>Art. II. -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 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Prezentul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ordin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se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publică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Monitorul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Oficial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al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României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Partea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I,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şi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intră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în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vigoare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la 30 de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zile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de la data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publicării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.</w:t>
      </w: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br/>
        <w:t xml:space="preserve">  </w:t>
      </w:r>
    </w:p>
    <w:p w14:paraId="3AD11853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3F244C" w:rsidRPr="003F244C" w14:paraId="10F63E28" w14:textId="77777777" w:rsidTr="003F244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EE8BF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0E0F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38A88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44C" w:rsidRPr="003F244C" w14:paraId="587E3E1D" w14:textId="77777777" w:rsidTr="003F244C">
        <w:trPr>
          <w:trHeight w:val="8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B383B" w14:textId="77777777" w:rsidR="003F244C" w:rsidRPr="003F244C" w:rsidRDefault="003F244C" w:rsidP="003F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691603" w14:textId="77777777" w:rsidR="003F244C" w:rsidRPr="003F244C" w:rsidRDefault="003F244C" w:rsidP="003F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Viceprim-ministru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ministrul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transporturilor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infrastructurii</w:t>
            </w:r>
            <w:proofErr w:type="spellEnd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Sorin Mihai </w:t>
            </w:r>
            <w:proofErr w:type="spellStart"/>
            <w:r w:rsidRPr="003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Grindeanu</w:t>
            </w:r>
            <w:proofErr w:type="spellEnd"/>
          </w:p>
        </w:tc>
      </w:tr>
    </w:tbl>
    <w:p w14:paraId="7E21D43E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</w:p>
    <w:p w14:paraId="72D85C6F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   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Bucureşti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, 27 </w:t>
      </w:r>
      <w:proofErr w:type="spellStart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>aprilie</w:t>
      </w:r>
      <w:proofErr w:type="spellEnd"/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 2023.  </w:t>
      </w:r>
    </w:p>
    <w:p w14:paraId="715F0FB9" w14:textId="77777777" w:rsidR="003F244C" w:rsidRPr="003F244C" w:rsidRDefault="003F244C" w:rsidP="003F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</w:pPr>
      <w:r w:rsidRPr="003F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F0"/>
          <w:lang w:val="en-US"/>
        </w:rPr>
        <w:t xml:space="preserve">    Nr. 994.  </w:t>
      </w:r>
    </w:p>
    <w:p w14:paraId="06620EA1" w14:textId="77777777" w:rsidR="0085496B" w:rsidRPr="003F244C" w:rsidRDefault="0085496B">
      <w:pPr>
        <w:rPr>
          <w:rFonts w:ascii="Times New Roman" w:hAnsi="Times New Roman" w:cs="Times New Roman"/>
          <w:sz w:val="24"/>
          <w:szCs w:val="24"/>
        </w:rPr>
      </w:pPr>
    </w:p>
    <w:sectPr w:rsidR="0085496B" w:rsidRPr="003F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0B"/>
    <w:rsid w:val="001A7DC8"/>
    <w:rsid w:val="003F244C"/>
    <w:rsid w:val="0085496B"/>
    <w:rsid w:val="008A5818"/>
    <w:rsid w:val="00D6480B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D2F39-59F5-423A-9402-F1FF3810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44C"/>
    <w:rPr>
      <w:color w:val="0000FF"/>
      <w:u w:val="single"/>
    </w:rPr>
  </w:style>
  <w:style w:type="character" w:customStyle="1" w:styleId="l5tlu1">
    <w:name w:val="l5tlu1"/>
    <w:basedOn w:val="DefaultParagraphFont"/>
    <w:rsid w:val="003F244C"/>
    <w:rPr>
      <w:b/>
      <w:bCs/>
      <w:color w:val="000000"/>
      <w:sz w:val="32"/>
      <w:szCs w:val="32"/>
    </w:rPr>
  </w:style>
  <w:style w:type="character" w:customStyle="1" w:styleId="l5prm1">
    <w:name w:val="l5prm1"/>
    <w:basedOn w:val="DefaultParagraphFont"/>
    <w:rsid w:val="003F244C"/>
    <w:rPr>
      <w:i/>
      <w:iCs/>
      <w:color w:val="000000"/>
      <w:sz w:val="26"/>
      <w:szCs w:val="26"/>
    </w:rPr>
  </w:style>
  <w:style w:type="character" w:customStyle="1" w:styleId="l5def2">
    <w:name w:val="l5def2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prm2">
    <w:name w:val="l5prm2"/>
    <w:basedOn w:val="DefaultParagraphFont"/>
    <w:rsid w:val="003F244C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3F244C"/>
    <w:rPr>
      <w:i/>
      <w:iCs/>
      <w:color w:val="000000"/>
      <w:sz w:val="26"/>
      <w:szCs w:val="26"/>
    </w:rPr>
  </w:style>
  <w:style w:type="character" w:customStyle="1" w:styleId="l5def4">
    <w:name w:val="l5def4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ghi1">
    <w:name w:val="l5ghi1"/>
    <w:basedOn w:val="DefaultParagraphFont"/>
    <w:rsid w:val="003F244C"/>
    <w:rPr>
      <w:color w:val="000000"/>
      <w:sz w:val="26"/>
      <w:szCs w:val="26"/>
    </w:rPr>
  </w:style>
  <w:style w:type="character" w:customStyle="1" w:styleId="l5ghi10">
    <w:name w:val="l5_ghi1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3">
    <w:name w:val="l5_ghi3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4">
    <w:name w:val="l5_ghi4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5">
    <w:name w:val="l5_ghi5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6">
    <w:name w:val="l5_ghi6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7">
    <w:name w:val="l5_ghi7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8">
    <w:name w:val="l5_ghi8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9">
    <w:name w:val="l5_ghi9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00">
    <w:name w:val="l5_ghi10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1">
    <w:name w:val="l5_ghi11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2">
    <w:name w:val="l5_ghi12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3">
    <w:name w:val="l5_ghi13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4">
    <w:name w:val="l5_ghi14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5">
    <w:name w:val="l5_ghi15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6">
    <w:name w:val="l5_ghi16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7">
    <w:name w:val="l5_ghi17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8">
    <w:name w:val="l5_ghi18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19">
    <w:name w:val="l5_ghi19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20">
    <w:name w:val="l5_ghi20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21">
    <w:name w:val="l5_ghi21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22">
    <w:name w:val="l5_ghi22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23">
    <w:name w:val="l5_ghi23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24">
    <w:name w:val="l5_ghi24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def9">
    <w:name w:val="l5def9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ghi26">
    <w:name w:val="l5_ghi26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27">
    <w:name w:val="l5_ghi27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28">
    <w:name w:val="l5_ghi28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def10">
    <w:name w:val="l5def10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ghi30">
    <w:name w:val="l5_ghi30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31">
    <w:name w:val="l5_ghi31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32">
    <w:name w:val="l5_ghi32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33">
    <w:name w:val="l5_ghi33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def11">
    <w:name w:val="l5def11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ghi34">
    <w:name w:val="l5_ghi34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35">
    <w:name w:val="l5_ghi35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def12">
    <w:name w:val="l5def12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ghi36">
    <w:name w:val="l5_ghi36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38">
    <w:name w:val="l5_ghi38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ghi39">
    <w:name w:val="l5_ghi39"/>
    <w:basedOn w:val="DefaultParagraphFont"/>
    <w:rsid w:val="003F244C"/>
    <w:rPr>
      <w:sz w:val="26"/>
      <w:szCs w:val="26"/>
      <w:shd w:val="clear" w:color="auto" w:fill="E0E0F0"/>
    </w:rPr>
  </w:style>
  <w:style w:type="character" w:customStyle="1" w:styleId="l5def13">
    <w:name w:val="l5def13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3F244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4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ataIncarcare: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69E3D-D2B8-4FB0-9301-E63F2709F8B3}"/>
</file>

<file path=customXml/itemProps2.xml><?xml version="1.0" encoding="utf-8"?>
<ds:datastoreItem xmlns:ds="http://schemas.openxmlformats.org/officeDocument/2006/customXml" ds:itemID="{612D4B44-9717-4EDF-B89D-5C21045CA393}"/>
</file>

<file path=customXml/itemProps3.xml><?xml version="1.0" encoding="utf-8"?>
<ds:datastoreItem xmlns:ds="http://schemas.openxmlformats.org/officeDocument/2006/customXml" ds:itemID="{F239BE89-95DB-439E-892A-8B5419989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Rozica Stanculea</dc:creator>
  <cp:keywords/>
  <dc:description/>
  <cp:lastModifiedBy>Rozica Stanculea</cp:lastModifiedBy>
  <cp:revision>4</cp:revision>
  <dcterms:created xsi:type="dcterms:W3CDTF">2023-05-02T06:36:00Z</dcterms:created>
  <dcterms:modified xsi:type="dcterms:W3CDTF">2023-05-02T08:18:00Z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