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061D50" w:rsidRPr="00061D50" w:rsidTr="00061D50">
        <w:trPr>
          <w:trHeight w:val="558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1D50" w:rsidRPr="00061D50" w:rsidRDefault="00061D50" w:rsidP="00061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1352/2013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publicarea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acceptării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Codului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internaţional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din 2011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programul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intensificat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inspecţii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efectuate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cu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ocazia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inspecţiilor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vrachiere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petroliere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Codul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ESP 2011),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adoptat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Adunarea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Organizaţiei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Maritime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Internaţionale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prin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Rezoluţia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A.1049(27) din 30 </w:t>
            </w:r>
            <w:proofErr w:type="spellStart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noiembrie</w:t>
            </w:r>
            <w:proofErr w:type="spellEnd"/>
            <w:r w:rsidRPr="00061D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2011</w:t>
            </w:r>
          </w:p>
          <w:p w:rsidR="00061D50" w:rsidRPr="00061D50" w:rsidRDefault="00061D50" w:rsidP="00061D50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061D50" w:rsidRPr="00061D50" w:rsidRDefault="00061D50" w:rsidP="00061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01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ianuarie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2014</w:t>
            </w:r>
          </w:p>
          <w:p w:rsidR="00061D50" w:rsidRPr="00061D50" w:rsidRDefault="00061D50" w:rsidP="00061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061D50" w:rsidRPr="00061D50" w:rsidRDefault="00061D50" w:rsidP="00061D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Consolidarea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data de </w:t>
            </w:r>
            <w:hyperlink r:id="rId4" w:history="1">
              <w:r w:rsidRPr="00061D50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061D50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061D50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are la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bază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publicarea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729 din 27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noiembrie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2013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şi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include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modificările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aduse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următoarele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Ordin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hyperlink r:id="rId5" w:history="1">
              <w:r w:rsidRPr="00061D50">
                <w:rPr>
                  <w:rFonts w:ascii="Arial" w:eastAsia="Times New Roman" w:hAnsi="Arial" w:cs="Arial"/>
                  <w:i/>
                  <w:iCs/>
                  <w:color w:val="0000FF"/>
                  <w:sz w:val="26"/>
                  <w:szCs w:val="26"/>
                  <w:lang w:val="en-US"/>
                </w:rPr>
                <w:t>1395/2014</w:t>
              </w:r>
            </w:hyperlink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Rezolutie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hyperlink r:id="rId6" w:history="1">
              <w:r w:rsidRPr="00061D50">
                <w:rPr>
                  <w:rFonts w:ascii="Arial" w:eastAsia="Times New Roman" w:hAnsi="Arial" w:cs="Arial"/>
                  <w:i/>
                  <w:iCs/>
                  <w:color w:val="0000FF"/>
                  <w:sz w:val="26"/>
                  <w:szCs w:val="26"/>
                  <w:lang w:val="en-US"/>
                </w:rPr>
                <w:t>371/2014</w:t>
              </w:r>
            </w:hyperlink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;</w:t>
            </w:r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Ultimul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amendament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01 </w:t>
            </w:r>
            <w:proofErr w:type="spellStart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ianuarie</w:t>
            </w:r>
            <w:proofErr w:type="spellEnd"/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2016.</w:t>
            </w:r>
            <w:r w:rsidRPr="00061D50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061D50" w:rsidRPr="00061D50" w:rsidRDefault="00061D50" w:rsidP="00061D50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61D50" w:rsidRPr="00061D50" w:rsidRDefault="00061D50" w:rsidP="00061D50">
            <w:pPr>
              <w:spacing w:after="0" w:line="240" w:lineRule="auto"/>
              <w:ind w:left="-10" w:hanging="1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</w:tbl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   </w:t>
      </w:r>
      <w:r w:rsidRPr="00061D50">
        <w:rPr>
          <w:rFonts w:ascii="Tahoma" w:eastAsia="Times New Roman" w:hAnsi="Tahoma" w:cs="Tahoma"/>
          <w:i/>
          <w:iCs/>
          <w:color w:val="339966"/>
          <w:lang w:val="en-US"/>
        </w:rPr>
        <w:t>*)</w:t>
      </w:r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Potrivit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rectificării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prevăzute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in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anexa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1395/2014,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internaţional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din 2011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programul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efectuate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cu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ocazia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inspecţiilor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vrachiere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petroliere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(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ESP 2011),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adoptat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Adunarea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Organizaţiei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Maritime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Internaţionale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Rezoluţia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A.1049(27) din 30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noiembrie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2011,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anexă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1352/2013, se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rectifică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   </w:t>
      </w:r>
      <w:r w:rsidRPr="00061D50">
        <w:rPr>
          <w:rFonts w:ascii="Tahoma" w:eastAsia="Times New Roman" w:hAnsi="Tahoma" w:cs="Tahoma"/>
          <w:i/>
          <w:iCs/>
          <w:color w:val="339966"/>
          <w:lang w:val="en-US"/>
        </w:rPr>
        <w:t>*)</w:t>
      </w:r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Potrivit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amendamentelor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din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anexa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Rezoluţia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Comitetului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siguranţă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maritimă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371/2014,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publicată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nr. 733 din data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de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30/09/2015,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internaţional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din 2011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programul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efectuate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cu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ocazia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inspecţiilor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vrachiere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petroliere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(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ESP 2011),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acceptat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 nr 1352/2013, se </w:t>
      </w:r>
      <w:proofErr w:type="spellStart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>modifică</w:t>
      </w:r>
      <w:proofErr w:type="spellEnd"/>
      <w:r w:rsidRPr="00061D50">
        <w:rPr>
          <w:rFonts w:ascii="Arial" w:eastAsia="Times New Roman" w:hAnsi="Arial" w:cs="Arial"/>
          <w:i/>
          <w:iCs/>
          <w:color w:val="732C7B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regulii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2 din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capitolul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XI-1 al </w:t>
      </w:r>
      <w:hyperlink r:id="rId7" w:history="1">
        <w:proofErr w:type="spellStart"/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Convenţiei</w:t>
        </w:r>
        <w:proofErr w:type="spellEnd"/>
      </w:hyperlink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internaţionale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1974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ocrotirea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vieţii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omeneşti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pe mare (SOLAS 1974),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aşa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cum a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fost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amendată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la care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aderat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Decretul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Consiliului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Stat </w:t>
      </w:r>
      <w:hyperlink r:id="rId8" w:history="1"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80/1979</w:t>
        </w:r>
      </w:hyperlink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4 </w:t>
      </w:r>
      <w:hyperlink r:id="rId9" w:history="1">
        <w:proofErr w:type="spellStart"/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(1)</w:t>
        </w:r>
      </w:hyperlink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Ordonanţa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42/1997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transportul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maritim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pe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căile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navigabile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interioare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republicată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  </w:t>
      </w:r>
    </w:p>
    <w:p w:rsidR="00061D50" w:rsidRPr="00061D50" w:rsidRDefault="00061D50" w:rsidP="00061D5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2 </w:t>
      </w:r>
      <w:hyperlink r:id="rId10" w:history="1"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pct. 20</w:t>
        </w:r>
      </w:hyperlink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5 </w:t>
      </w:r>
      <w:hyperlink r:id="rId11" w:history="1">
        <w:proofErr w:type="spellStart"/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061D50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24/2013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r w:rsidRPr="00061D50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061D50" w:rsidRPr="00061D50" w:rsidRDefault="00061D50" w:rsidP="00061D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2011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programul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ocazia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vrachiere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petroliere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Codul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ESP 2011),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Adunarea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Rezoluţia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 xml:space="preserve">A.1049(27) din 30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noiembrie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2011,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anexa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*) care face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integrantă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2E8B57"/>
          <w:sz w:val="26"/>
          <w:szCs w:val="26"/>
          <w:lang w:val="en-US"/>
        </w:rPr>
        <w:t>*)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2" w:history="1">
        <w:proofErr w:type="spellStart"/>
        <w:r w:rsidRPr="00061D50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Anexa</w:t>
        </w:r>
        <w:proofErr w:type="spellEnd"/>
      </w:hyperlink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se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publică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Partea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I, nr. 729 bis.</w:t>
      </w:r>
      <w:r w:rsidRPr="00061D50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br/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Navală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lua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măsurile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necesare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proofErr w:type="gram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061D50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</w:t>
      </w:r>
      <w:proofErr w:type="gramEnd"/>
      <w:r w:rsidRPr="00061D50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1)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data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intrării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lucrărilor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locuinţei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3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541/2003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Sistemului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aplicabil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comerciale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care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arborează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pavilionul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efectuează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voiajuri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374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4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374 bis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31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2003,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5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185/2009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publicarea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acceptării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amendamentelor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instrucţiunile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programul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ocazia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vrachiere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petroliere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rezoluţiile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MSC.125(75) din 24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2002, MSC.144(77) din 5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2003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MSC.197(80) din 20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2005 ale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Comitetului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Securităţii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269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6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269 bis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24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aprilie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2009, precum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7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215/2010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publicarea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acceptării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amendamentelor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Instrucţiunile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programul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intensificat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ocazia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inspecţiilor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vrachiere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petroliere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[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Rezoluţia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A.744(18),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aşa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amendată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],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Rezoluţia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MSC.261(84) 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Comitetului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Securităţii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din 16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mai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2008,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268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8" w:history="1">
        <w:r w:rsidRPr="00061D50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268 bis</w:t>
        </w:r>
      </w:hyperlink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26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aprilie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2010, se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(2)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Documentaţia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finalizată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data de 31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decembrie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temeiul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actelor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normative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menţionate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(1)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păstrează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valabilitatea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061D50" w:rsidRPr="00061D50" w:rsidRDefault="00061D50" w:rsidP="00061D5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61D50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4. -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data de 1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ianuarie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2014.</w:t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333"/>
      </w:tblGrid>
      <w:tr w:rsidR="00061D50" w:rsidRPr="00061D50" w:rsidTr="00061D5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50" w:rsidRPr="00061D50" w:rsidRDefault="00061D50" w:rsidP="00061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D50" w:rsidRPr="00061D50" w:rsidRDefault="00061D50" w:rsidP="0006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1D50" w:rsidRPr="00061D50" w:rsidTr="00061D50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50" w:rsidRPr="00061D50" w:rsidRDefault="00061D50" w:rsidP="0006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D50" w:rsidRPr="00061D50" w:rsidRDefault="00061D50" w:rsidP="00061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p. </w:t>
            </w:r>
            <w:proofErr w:type="spellStart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Constantin </w:t>
            </w:r>
            <w:proofErr w:type="spellStart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Matei</w:t>
            </w:r>
            <w:proofErr w:type="spellEnd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subsecretar</w:t>
            </w:r>
            <w:proofErr w:type="spellEnd"/>
            <w:r w:rsidRPr="00061D50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stat</w:t>
            </w:r>
          </w:p>
        </w:tc>
      </w:tr>
    </w:tbl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29 </w:t>
      </w:r>
      <w:proofErr w:type="spellStart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>octombrie</w:t>
      </w:r>
      <w:proofErr w:type="spellEnd"/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2013.  </w:t>
      </w:r>
    </w:p>
    <w:p w:rsidR="00061D50" w:rsidRPr="00061D50" w:rsidRDefault="00061D50" w:rsidP="00061D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061D50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1.352.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50"/>
    <w:rsid w:val="00061D50"/>
    <w:rsid w:val="00602C81"/>
    <w:rsid w:val="00885FF0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CB2A-209B-41DE-8989-6ADC1C4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96755%200" TargetMode="External"/><Relationship Id="rId13" Type="http://schemas.openxmlformats.org/officeDocument/2006/relationships/hyperlink" Target="act:45522%200" TargetMode="External"/><Relationship Id="rId18" Type="http://schemas.openxmlformats.org/officeDocument/2006/relationships/hyperlink" Target="act:134075%200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act:94540%200" TargetMode="External"/><Relationship Id="rId12" Type="http://schemas.openxmlformats.org/officeDocument/2006/relationships/hyperlink" Target="act:388864%200" TargetMode="External"/><Relationship Id="rId17" Type="http://schemas.openxmlformats.org/officeDocument/2006/relationships/hyperlink" Target="act:134148%200" TargetMode="External"/><Relationship Id="rId2" Type="http://schemas.openxmlformats.org/officeDocument/2006/relationships/settings" Target="settings.xml"/><Relationship Id="rId16" Type="http://schemas.openxmlformats.org/officeDocument/2006/relationships/hyperlink" Target="act:124978%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showRel:788314%20-1" TargetMode="External"/><Relationship Id="rId11" Type="http://schemas.openxmlformats.org/officeDocument/2006/relationships/hyperlink" Target="act:338052%2063787613" TargetMode="External"/><Relationship Id="rId5" Type="http://schemas.openxmlformats.org/officeDocument/2006/relationships/hyperlink" Target="showRel:406879%20-1" TargetMode="External"/><Relationship Id="rId15" Type="http://schemas.openxmlformats.org/officeDocument/2006/relationships/hyperlink" Target="act:126187%20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act:338052%2063787491" TargetMode="External"/><Relationship Id="rId19" Type="http://schemas.openxmlformats.org/officeDocument/2006/relationships/fontTable" Target="fontTable.xm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13091%2037785261" TargetMode="External"/><Relationship Id="rId14" Type="http://schemas.openxmlformats.org/officeDocument/2006/relationships/hyperlink" Target="act:109765%20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0C37-602B-4FAB-B0D3-B1D16843B1FE}"/>
</file>

<file path=customXml/itemProps2.xml><?xml version="1.0" encoding="utf-8"?>
<ds:datastoreItem xmlns:ds="http://schemas.openxmlformats.org/officeDocument/2006/customXml" ds:itemID="{5D98B02B-6BD8-48BE-85DB-92330F568944}"/>
</file>

<file path=customXml/itemProps3.xml><?xml version="1.0" encoding="utf-8"?>
<ds:datastoreItem xmlns:ds="http://schemas.openxmlformats.org/officeDocument/2006/customXml" ds:itemID="{691CC327-388E-4E16-AFC3-7609D8199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2022-01-27T09:50:00Z</dcterms:created>
  <dcterms:modified xsi:type="dcterms:W3CDTF">2022-01-27T09:51:00Z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