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  <w:gridCol w:w="960"/>
      </w:tblGrid>
      <w:tr w:rsidR="0092391C" w:rsidRPr="0092391C" w:rsidTr="0092391C"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Ordinul</w:t>
            </w:r>
            <w:proofErr w:type="spellEnd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nr. 978/2018 </w:t>
            </w:r>
            <w:proofErr w:type="spellStart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pentru</w:t>
            </w:r>
            <w:proofErr w:type="spellEnd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aprobarea</w:t>
            </w:r>
            <w:proofErr w:type="spellEnd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Listei</w:t>
            </w:r>
            <w:proofErr w:type="spellEnd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standardelor</w:t>
            </w:r>
            <w:proofErr w:type="spellEnd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româneşti</w:t>
            </w:r>
            <w:proofErr w:type="spellEnd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care </w:t>
            </w:r>
            <w:proofErr w:type="spellStart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adoptă</w:t>
            </w:r>
            <w:proofErr w:type="spellEnd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standardele</w:t>
            </w:r>
            <w:proofErr w:type="spellEnd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europene</w:t>
            </w:r>
            <w:proofErr w:type="spellEnd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armonizate</w:t>
            </w:r>
            <w:proofErr w:type="spellEnd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, ale </w:t>
            </w:r>
            <w:proofErr w:type="spellStart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căror</w:t>
            </w:r>
            <w:proofErr w:type="spellEnd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prevederi</w:t>
            </w:r>
            <w:proofErr w:type="spellEnd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se </w:t>
            </w:r>
            <w:proofErr w:type="spellStart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referă</w:t>
            </w:r>
            <w:proofErr w:type="spellEnd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la </w:t>
            </w:r>
            <w:proofErr w:type="spellStart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ambarcaţiuni</w:t>
            </w:r>
            <w:proofErr w:type="spellEnd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agrement</w:t>
            </w:r>
            <w:proofErr w:type="spellEnd"/>
            <w:r w:rsidRPr="0092391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  </w:t>
            </w:r>
          </w:p>
          <w:p w:rsidR="0092391C" w:rsidRPr="0092391C" w:rsidRDefault="0092391C" w:rsidP="0092391C">
            <w:pPr>
              <w:spacing w:after="26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vigoare</w:t>
            </w:r>
            <w:proofErr w:type="spellEnd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de la 07 </w:t>
            </w:r>
            <w:proofErr w:type="spellStart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iunie</w:t>
            </w:r>
            <w:proofErr w:type="spellEnd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2018</w:t>
            </w:r>
          </w:p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  <w:p w:rsid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Publicat</w:t>
            </w:r>
            <w:proofErr w:type="spellEnd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Monitorul</w:t>
            </w:r>
            <w:proofErr w:type="spellEnd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Oficial</w:t>
            </w:r>
            <w:proofErr w:type="spellEnd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I nr. 470 din 07 </w:t>
            </w:r>
            <w:proofErr w:type="spellStart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iunie</w:t>
            </w:r>
            <w:proofErr w:type="spellEnd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2018. </w:t>
            </w:r>
            <w:proofErr w:type="spellStart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Formă</w:t>
            </w:r>
            <w:proofErr w:type="spellEnd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aplicabilă</w:t>
            </w:r>
            <w:proofErr w:type="spellEnd"/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la </w:t>
            </w:r>
            <w:hyperlink r:id="rId4" w:history="1">
              <w:r w:rsidRPr="0092391C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 xml:space="preserve">15 </w:t>
              </w:r>
              <w:proofErr w:type="spellStart"/>
              <w:r w:rsidRPr="0092391C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>ianuarie</w:t>
              </w:r>
              <w:proofErr w:type="spellEnd"/>
              <w:r w:rsidRPr="0092391C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 xml:space="preserve"> 2022</w:t>
              </w:r>
            </w:hyperlink>
            <w:r w:rsidRPr="0092391C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.</w:t>
            </w:r>
          </w:p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</w:pPr>
          </w:p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</w:tblGrid>
            <w:tr w:rsidR="0092391C" w:rsidRPr="0092391C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tbl>
                  <w:tblPr>
                    <w:tblW w:w="0" w:type="auto"/>
                    <w:jc w:val="righ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96"/>
                  </w:tblGrid>
                  <w:tr w:rsidR="0092391C" w:rsidRPr="0092391C" w:rsidTr="0092391C">
                    <w:trPr>
                      <w:jc w:val="right"/>
                    </w:trPr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92391C" w:rsidRPr="0092391C" w:rsidRDefault="0092391C" w:rsidP="0092391C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r w:rsidRPr="0092391C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00"/>
                            <w:sz w:val="26"/>
                            <w:szCs w:val="26"/>
                            <w:lang w:val="en-US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52400" cy="142875"/>
                                  <wp:effectExtent l="0" t="0" r="0" b="0"/>
                                  <wp:docPr id="1" name="Rectangle 1" descr="Fisa actului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5DBF78E5" id="Rectangle 1" o:spid="_x0000_s1026" alt="Fisa actului" href="javascript:fisa_act;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:rsidR="0092391C" w:rsidRPr="0092391C" w:rsidRDefault="0092391C" w:rsidP="0092391C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</w:tr>
                </w:tbl>
                <w:p w:rsidR="0092391C" w:rsidRPr="0092391C" w:rsidRDefault="0092391C" w:rsidP="0092391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92391C" w:rsidRPr="0092391C">
              <w:trPr>
                <w:jc w:val="right"/>
                <w:hidden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92391C" w:rsidRPr="0092391C" w:rsidRDefault="0092391C" w:rsidP="0092391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  <w:lang w:val="en-US"/>
                    </w:rPr>
                  </w:pPr>
                  <w:r w:rsidRPr="0092391C"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  <w:lang w:val="en-US"/>
                    </w:rPr>
                    <w:t xml:space="preserve">Grupează pe: categorii </w:t>
                  </w:r>
                  <w:hyperlink r:id="rId6" w:history="1">
                    <w:r w:rsidRPr="0092391C">
                      <w:rPr>
                        <w:rFonts w:ascii="Arial" w:eastAsia="Times New Roman" w:hAnsi="Arial" w:cs="Arial"/>
                        <w:b/>
                        <w:bCs/>
                        <w:vanish/>
                        <w:color w:val="3366FF"/>
                        <w:sz w:val="26"/>
                        <w:szCs w:val="26"/>
                        <w:lang w:val="en-US"/>
                      </w:rPr>
                      <w:t>ani</w:t>
                    </w:r>
                  </w:hyperlink>
                  <w:r w:rsidRPr="0092391C"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  <w:lang w:val="en-US"/>
                    </w:rPr>
                    <w:t xml:space="preserve"> </w:t>
                  </w:r>
                </w:p>
                <w:tbl>
                  <w:tblPr>
                    <w:tblW w:w="5000" w:type="pct"/>
                    <w:jc w:val="right"/>
                    <w:tblCellMar>
                      <w:left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6"/>
                  </w:tblGrid>
                  <w:tr w:rsidR="0092391C" w:rsidRPr="0092391C" w:rsidTr="0092391C">
                    <w:trPr>
                      <w:jc w:val="right"/>
                      <w:hidden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2391C" w:rsidRPr="0092391C" w:rsidRDefault="0092391C" w:rsidP="0092391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vanish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</w:tr>
                  <w:tr w:rsidR="0092391C" w:rsidRPr="0092391C" w:rsidTr="0092391C">
                    <w:trPr>
                      <w:jc w:val="right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2391C" w:rsidRPr="0092391C" w:rsidRDefault="0092391C" w:rsidP="0092391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</w:tr>
                </w:tbl>
                <w:p w:rsidR="0092391C" w:rsidRPr="0092391C" w:rsidRDefault="0092391C" w:rsidP="0092391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92391C" w:rsidRPr="0092391C" w:rsidRDefault="0092391C" w:rsidP="009239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92391C" w:rsidRPr="0092391C" w:rsidRDefault="0092391C" w:rsidP="0092391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</w:pPr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   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Având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în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vedere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Referatul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Direcţiei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transport naval nr. 1.220/57 din 2.02.2018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prin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care se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solicită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aprobarea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prezentului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ordin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precum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prevederile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art. 14 </w:t>
      </w:r>
      <w:hyperlink r:id="rId7" w:history="1">
        <w:proofErr w:type="spellStart"/>
        <w:r w:rsidRPr="0092391C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alin</w:t>
        </w:r>
        <w:proofErr w:type="spellEnd"/>
        <w:r w:rsidRPr="0092391C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. (2)</w:t>
        </w:r>
      </w:hyperlink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din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Hotărârea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Guvernului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nr. 464/2017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privind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ambarcaţiunile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agrement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motovehiculele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nautice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  </w:t>
      </w:r>
    </w:p>
    <w:p w:rsidR="0092391C" w:rsidRPr="0092391C" w:rsidRDefault="0092391C" w:rsidP="0092391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</w:pPr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   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ţinând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seama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prevederile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Comunicării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Comisiei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Europene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în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cadrul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punerii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în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aplicare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Directivei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hyperlink r:id="rId8" w:history="1">
        <w:r w:rsidRPr="0092391C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2013/53</w:t>
        </w:r>
      </w:hyperlink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/UE a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Parlamentului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European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Consiliului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privind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ambarcaţiunile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agrement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motovehiculele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nautice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abrogare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Directivei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hyperlink r:id="rId9" w:history="1">
        <w:r w:rsidRPr="0092391C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94/25</w:t>
        </w:r>
      </w:hyperlink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/CE,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publicată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în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Jurnalul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Oficial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al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Uniunii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Europene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seria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C, nr. 435 din 15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decembrie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2017,  </w:t>
      </w:r>
    </w:p>
    <w:p w:rsidR="0092391C" w:rsidRPr="0092391C" w:rsidRDefault="0092391C" w:rsidP="0092391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</w:pPr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   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în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temeiul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prevederilor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art. 3 </w:t>
      </w:r>
      <w:hyperlink r:id="rId10" w:history="1">
        <w:proofErr w:type="spellStart"/>
        <w:r w:rsidRPr="0092391C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alin</w:t>
        </w:r>
        <w:proofErr w:type="spellEnd"/>
        <w:r w:rsidRPr="0092391C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. (3)</w:t>
        </w:r>
      </w:hyperlink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din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Ordonanţa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Guvernului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nr. 20/2010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privind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stabilirea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unor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măsuri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pentru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aplicarea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unitară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legislaţiei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Uniunii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Europene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care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armonizează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condiţiile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comercializare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produselor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aprobată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cu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modificări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prin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Legea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hyperlink r:id="rId11" w:history="1">
        <w:r w:rsidRPr="0092391C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nr. 50/2015</w:t>
        </w:r>
      </w:hyperlink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cu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modificările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ulterioare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ale art. 5 </w:t>
      </w:r>
      <w:hyperlink r:id="rId12" w:history="1">
        <w:proofErr w:type="spellStart"/>
        <w:r w:rsidRPr="0092391C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alin</w:t>
        </w:r>
        <w:proofErr w:type="spellEnd"/>
        <w:r w:rsidRPr="0092391C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. (4)</w:t>
        </w:r>
      </w:hyperlink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din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Hotărârea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Guvernului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nr. 21/2015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privind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organizarea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funcţionarea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Ministerului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Transporturilor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cu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modificările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completările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ulterioare</w:t>
      </w:r>
      <w:proofErr w:type="spellEnd"/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,</w:t>
      </w:r>
      <w:r w:rsidRPr="0092391C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br/>
        <w:t xml:space="preserve">  </w:t>
      </w:r>
    </w:p>
    <w:p w:rsidR="0092391C" w:rsidRPr="0092391C" w:rsidRDefault="0092391C" w:rsidP="009239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ministrul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emite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următorul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:</w:t>
      </w: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</w:p>
    <w:p w:rsidR="0092391C" w:rsidRPr="0092391C" w:rsidRDefault="0092391C" w:rsidP="009239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92391C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1. -</w:t>
      </w: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Se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aprobă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Lista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standardelor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româneşti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care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adoptă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standardele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europene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armonizate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ale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căror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prevederi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referă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ambarcaţiuni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agrement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prevăzută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anexa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care face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integrantă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92391C" w:rsidRPr="0092391C" w:rsidRDefault="0092391C" w:rsidP="009239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92391C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2. -</w:t>
      </w: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La data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intrării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vigoare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prezentului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abrogă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Ordinul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ministrului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construcţiilor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turismului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3" w:history="1">
        <w:r w:rsidRPr="0092391C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1.681/2005</w:t>
        </w:r>
      </w:hyperlink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aprobarea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Listei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standardelor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româneşti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care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adoptă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standardele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europene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armonizate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ale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căror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prevederi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referă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ambarcaţiunile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agrement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I, nr. 941 din 21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octombrie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2005, cu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modificările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ulterioare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92391C" w:rsidRDefault="0092391C" w:rsidP="009239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92391C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3. -</w:t>
      </w: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publică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I.</w:t>
      </w: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92391C" w:rsidRPr="0092391C" w:rsidRDefault="0092391C" w:rsidP="009239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tbl>
      <w:tblPr>
        <w:tblW w:w="23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205"/>
        <w:gridCol w:w="113"/>
      </w:tblGrid>
      <w:tr w:rsidR="0092391C" w:rsidRPr="0092391C" w:rsidTr="0092391C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391C" w:rsidRPr="0092391C" w:rsidTr="0092391C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Ministrul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transporturilor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</w:t>
            </w: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  <w:t xml:space="preserve">Lucian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Şova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</w:tbl>
    <w:p w:rsidR="0092391C" w:rsidRPr="0092391C" w:rsidRDefault="0092391C" w:rsidP="0092391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92391C" w:rsidRPr="0092391C" w:rsidRDefault="0092391C" w:rsidP="0092391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  </w:t>
      </w:r>
      <w:bookmarkStart w:id="0" w:name="_GoBack"/>
      <w:bookmarkEnd w:id="0"/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Bucureşti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16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mai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2018.  </w:t>
      </w:r>
    </w:p>
    <w:p w:rsidR="0092391C" w:rsidRPr="0092391C" w:rsidRDefault="0092391C" w:rsidP="0092391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  Nr. 978.</w:t>
      </w: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92391C" w:rsidRPr="0092391C" w:rsidRDefault="0092391C" w:rsidP="0092391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2391C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val="en-US"/>
        </w:rPr>
        <w:lastRenderedPageBreak/>
        <w:t>ANEXĂ</w:t>
      </w: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92391C" w:rsidRPr="0092391C" w:rsidRDefault="0092391C" w:rsidP="009239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LISTA*)</w:t>
      </w: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standardelor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româneşti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care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adoptă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standardele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europene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armonizate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ale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căror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prevederi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referă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ambarcaţiunile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agrement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92391C" w:rsidRPr="0092391C" w:rsidRDefault="0092391C" w:rsidP="0092391C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92391C">
        <w:rPr>
          <w:rFonts w:ascii="Arial" w:eastAsia="Times New Roman" w:hAnsi="Arial" w:cs="Arial"/>
          <w:b/>
          <w:bCs/>
          <w:color w:val="2E8B57"/>
          <w:sz w:val="26"/>
          <w:szCs w:val="26"/>
          <w:lang w:val="en-US"/>
        </w:rPr>
        <w:t>*)</w:t>
      </w: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Lista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menţionează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standardele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româneşti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care au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fost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sau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vor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fi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adoptate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Asociaţia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Standardizare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din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România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până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la 31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martie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2018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şi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care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reprezintă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versiunile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naţionale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ale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standardelor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europene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armonizate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cuprinse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în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lista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actualizată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şi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publicată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de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Comisia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Europeană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în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Jurnalul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Oficial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al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Uniunii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Europene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,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seria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C, nr. 435 din 15 </w:t>
      </w:r>
      <w:proofErr w:type="spellStart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decembrie</w:t>
      </w:r>
      <w:proofErr w:type="spellEnd"/>
      <w:r w:rsidRPr="0092391C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2017.</w:t>
      </w:r>
      <w:r w:rsidRPr="0092391C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 </w:t>
      </w:r>
    </w:p>
    <w:p w:rsidR="0092391C" w:rsidRPr="0092391C" w:rsidRDefault="0092391C" w:rsidP="009239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tbl>
      <w:tblPr>
        <w:tblW w:w="95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11"/>
        <w:gridCol w:w="2037"/>
        <w:gridCol w:w="4891"/>
        <w:gridCol w:w="2201"/>
      </w:tblGrid>
      <w:tr w:rsidR="0092391C" w:rsidRPr="0092391C" w:rsidTr="0092391C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391C" w:rsidRPr="0092391C" w:rsidTr="0092391C">
        <w:trPr>
          <w:trHeight w:val="1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Nr.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crt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Indicativ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Titlu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Data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încetării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prezumţiei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conformitate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standardului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înlocuit</w:t>
            </w:r>
            <w:proofErr w:type="spellEnd"/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</w:t>
            </w: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6185-1:2002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Bărci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gonflabile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Bărci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puterea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maximă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motorului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4,5 kW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6185-2:2002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Bărci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gonflabile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2: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Bărci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puterea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maximă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motorului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la 4,5 kW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până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la 15 kW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inclusiv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6185-3:2014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Bărci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gonflabile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3: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Bărci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lungimea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corpului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8 m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puterea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maximă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motorului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egală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sau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mare de 15 kW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6185-4:2011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Bărci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gonflabile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4: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Bărci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lungimea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corpului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cuprinsă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între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8 m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24 m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puterea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nominală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motorului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mare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sau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egală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15 kW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7840:2013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Furtunuri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flexibile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rezistente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la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foc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pentru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combustibil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8469:2013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Furtunuri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flexibile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care nu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rezistă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la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foc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utilizate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pentru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combustibil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8665:2018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Motoare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ardere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internă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piston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pentru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propulsie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navală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Măsurarea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declararea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puterii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28.02.2018</w:t>
            </w: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8666:2003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Caracteristici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principale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8846:2018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Dispozitive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electrice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Protecţia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împotriva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aprinderii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gazelor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inflamabile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din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mediul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înconjurător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23.02.2018</w:t>
            </w: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8847:2018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Instalaţii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guvernare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Sisteme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troţă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rolă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28.02.2018</w:t>
            </w: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8848:2018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Instalaţii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guvernare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comandă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la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distanţă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28.02.2018</w:t>
            </w: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8849:2004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Pompe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santină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acţionate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electric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9093-1:2003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Robinete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pentru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corpul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navei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fitinguri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trecere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Construcţie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metalică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9093-2:2003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Robinete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pentru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corpul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navei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fitinguri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trecere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2: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Construcţie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nemetalică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9094:2018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Protecţie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împotriva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incendiului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9097:2018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Ventilatoare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electrice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28.02.2018</w:t>
            </w: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9775:2018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Instalaţii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guvernare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comandă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la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distanţă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un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singur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motor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afara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bordului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puterea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cuprinsă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între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15 kW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40 kW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28.02.2018</w:t>
            </w: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10088:2018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Sisteme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alimentare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combustibil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28.02.2018</w:t>
            </w: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10133:2018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Instalaţii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electrice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Instalaţii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curent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continuu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foarte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joasă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tensiune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28.02.2018</w:t>
            </w: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10239:2018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Instalaţie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alimentare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gaz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petrolier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lichefiat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(GPL)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28.02.2018</w:t>
            </w: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10592:2018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Instalaţii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hidraulice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guvernare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28.02.2018</w:t>
            </w: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11105:2018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Ventilaţia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compartimentelor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care se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află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motoare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pe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benzină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/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sau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tancuri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benzină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31.03.2018</w:t>
            </w: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11192:2006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Simboluri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grafice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11547:2002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Dispozitiv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protecţie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împotriva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pornirii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când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motorul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este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cuplat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viteză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11547:2002/A1:2003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Dispozitiv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protecţie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împotriva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pornirii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când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motorul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este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cuplat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viteză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Amendamentul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11592-1:2016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Determinarea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puterii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nominale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maxime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utilizând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viteza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manevră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1: Nave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lungimea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corpului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8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11812:2002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Cocpituri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etanşe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cocpituri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drenare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rapidă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12215-1:2003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Construcţia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corpului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eşantionaj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Materiale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Răşini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termorigide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materiale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ranforsate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fibre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sticlă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stratificate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referinţă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12215-2:2003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Construcţia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corpului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eşantionaj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2: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Materiale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Materiale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pentru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miezuri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structuri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tip sandwich,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materiale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pentru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inserţii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12215-3:2003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Construcţia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corpului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eşantionaj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3: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Materiale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Oţeluri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aliaje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aluminiu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lemn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alte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materiale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12215-4:2003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Construcţia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corpului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eşantionaj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4: Atelier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construcţie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fabricaţie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12215-5:2008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Construcţia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corpului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eşantionaj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5: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Presiunea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calcul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pentru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monolit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calculul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solicitărilor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determinarea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eşantionajului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12215- 5:2008/A1:2015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Construcţia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corpului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eşantionaj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5: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Presiunea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calcul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pentru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monolit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calculul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solicitărilor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determinarea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eşantionajului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Amendamentul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12215-6:2008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Construcţia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corpului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eşantionaj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6: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Dispunerea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detalii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ale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structurii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12215-8:2009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Construcţia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corpului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eşantionaj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8: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Cârme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12215- 8:2009/AC:2010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Construcţia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corpului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eşantionaj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8: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Cârme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12215-9:2012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Construcţia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corpului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eşantionaj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9: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Anexele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ambarcaţiunilor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pânze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12216:2003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Ferestre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hublouri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capace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iluminatoare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fixe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uşi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Cerinţe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referitoare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la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rezistenţă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etanşeitate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12217-1:2018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Evaluarea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stabilităţii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flotabilităţii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încadrarea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categorii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Ambarcaţiuni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fără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vele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lungimea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corpului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mare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sau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egală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6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31.03.2018</w:t>
            </w: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12217-2:2018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Evaluarea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stabilităţii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flotabilităţii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încadrarea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categorii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2: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Ambarcaţiuni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vele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lungimea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corpului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mare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sau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egală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6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31.03.2018</w:t>
            </w: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12217-3:2018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Evaluarea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stabilităţii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flotabilităţii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încadrarea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categorii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3: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Ambarcaţiuni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lungimea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corpului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6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28.02.2018</w:t>
            </w: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13297:2014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Instalaţii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electrice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Instalaţii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curent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alternativ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13590:2004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Schi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jeturi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Cerinţe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referitoare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la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construcţie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la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montarea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instalaţiilor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13590:2004/AC:2005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Schi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jeturi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Cerinţe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referitoare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la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construcţie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la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montarea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instalaţiilor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13929:2017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Instalaţii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guvernare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Sisteme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transmisie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angrenaje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28.02.2018</w:t>
            </w: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14509-1:2009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Zgomotul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aerian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emis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ambarcaţiunile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agrement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motor.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Proceduri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măsurare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pentru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încercarea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la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trecere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14509-3:2010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Zgomotul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aerian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emis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ambarcaţiunile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agrement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motor.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3: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Evaluarea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zgomotului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ajutorul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procedurilor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calcul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măsurare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14895:2016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Maşini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gătit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alimentate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combustibil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lichid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utilizate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pentru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bucătăria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navelor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49.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14946:2002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Capacitatea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maximă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încărcare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14946:2002/AC:2006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Capacitatea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maximă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încărcare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15083:2003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Sisteme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pompare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pentru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santină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15084:2003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Ancorare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legare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remorcare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Puncte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întărite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15584:2018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Motoare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benzină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fixe la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bord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Componentele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instalaţiei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alimentare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ale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instalaţiilor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electrice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28.02.2018</w:t>
            </w: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15609:2012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Echipamente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accesorii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pentru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GPL.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Sisteme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propulsie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GPL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pentru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bărci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iahturi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alte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ambarcaţiuni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15652:2018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Sisteme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guvernare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comandă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la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distanţă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pentru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ambarcaţiuni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propulsie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jet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28.02.2018</w:t>
            </w: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16147:2018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Motoare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diesel, fixe la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bord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Componentele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instalaţiei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alimentare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ale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instalaţiilor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electrice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fixate pe motor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28.02.2018</w:t>
            </w: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16180:2013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Lumini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navigaţie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Instalare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poziţionare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vizibilitate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16315:2016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Sistem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propulsie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electric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18854:2015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Măsurarea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emisiilor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gaze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eşapament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ale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motoarelor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alternative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combustie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internă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Măsurarea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emisiilor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gaze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particule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la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bancul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probe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60.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19009:2015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Lumini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navigaţie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electrice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Performanţa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luminilor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61.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21487:2013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Tancuri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combustibil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tip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benzină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tip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motorină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 fixate permanent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62.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21487:2013/A1:2014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Tancuri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combustibil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tip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benzină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tip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motorină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fixate permanent.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Amendamentul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63.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21487:2013/A2:2015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Tancuri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cu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combustibil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tip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benzină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tip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motorină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fixate permanent.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Amendamentul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64.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25197:2013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Sisteme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control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electrice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/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electronice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pentru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controlul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direcţiei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ambreiajului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acceleraţiei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65.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ISO 25197:2013/A1:2014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Sisteme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control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electrice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/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electronice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pentru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controlul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direcţiei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ambreiajului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acceleraţiei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Amendamentul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92391C" w:rsidRPr="0092391C" w:rsidTr="0092391C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66.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SR EN 60092-507:2015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Instalaţii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electrice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la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bordul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navelor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Partea</w:t>
            </w:r>
            <w:proofErr w:type="spellEnd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507: Nave </w:t>
            </w:r>
            <w:proofErr w:type="spellStart"/>
            <w:r w:rsidRPr="0092391C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mici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391C" w:rsidRPr="0092391C" w:rsidRDefault="0092391C" w:rsidP="009239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</w:tbl>
    <w:p w:rsidR="0092391C" w:rsidRPr="0092391C" w:rsidRDefault="0092391C" w:rsidP="009239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F31BBA" w:rsidRDefault="00F31BBA"/>
    <w:sectPr w:rsidR="00F31BBA" w:rsidSect="0092391C">
      <w:pgSz w:w="11906" w:h="16838" w:code="9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1C"/>
    <w:rsid w:val="00602C81"/>
    <w:rsid w:val="00885FF0"/>
    <w:rsid w:val="0092391C"/>
    <w:rsid w:val="00F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42F6"/>
  <w15:chartTrackingRefBased/>
  <w15:docId w15:val="{6925D12C-2EF0-4FBB-90DF-10EA4948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391C"/>
    <w:rPr>
      <w:color w:val="0000FF"/>
      <w:u w:val="single"/>
    </w:rPr>
  </w:style>
  <w:style w:type="character" w:customStyle="1" w:styleId="l5tlu1">
    <w:name w:val="l5tlu1"/>
    <w:basedOn w:val="DefaultParagraphFont"/>
    <w:rsid w:val="0092391C"/>
    <w:rPr>
      <w:b/>
      <w:bCs/>
      <w:color w:val="000000"/>
      <w:sz w:val="32"/>
      <w:szCs w:val="32"/>
    </w:rPr>
  </w:style>
  <w:style w:type="character" w:customStyle="1" w:styleId="l5prm1">
    <w:name w:val="l5prm1"/>
    <w:basedOn w:val="DefaultParagraphFont"/>
    <w:rsid w:val="0092391C"/>
    <w:rPr>
      <w:i/>
      <w:iCs/>
      <w:color w:val="000000"/>
      <w:sz w:val="26"/>
      <w:szCs w:val="26"/>
    </w:rPr>
  </w:style>
  <w:style w:type="character" w:customStyle="1" w:styleId="l5prm2">
    <w:name w:val="l5prm2"/>
    <w:basedOn w:val="DefaultParagraphFont"/>
    <w:rsid w:val="0092391C"/>
    <w:rPr>
      <w:i/>
      <w:iCs/>
      <w:color w:val="000000"/>
      <w:sz w:val="26"/>
      <w:szCs w:val="26"/>
    </w:rPr>
  </w:style>
  <w:style w:type="character" w:customStyle="1" w:styleId="l5prm3">
    <w:name w:val="l5prm3"/>
    <w:basedOn w:val="DefaultParagraphFont"/>
    <w:rsid w:val="0092391C"/>
    <w:rPr>
      <w:i/>
      <w:iCs/>
      <w:color w:val="000000"/>
      <w:sz w:val="26"/>
      <w:szCs w:val="26"/>
    </w:rPr>
  </w:style>
  <w:style w:type="character" w:customStyle="1" w:styleId="l5def1">
    <w:name w:val="l5def1"/>
    <w:basedOn w:val="DefaultParagraphFont"/>
    <w:rsid w:val="0092391C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92391C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92391C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92391C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92391C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92391C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92391C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92391C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92391C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92391C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92391C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88798%200" TargetMode="External"/><Relationship Id="rId13" Type="http://schemas.openxmlformats.org/officeDocument/2006/relationships/hyperlink" Target="act:80208%200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act:1676067%20202122703" TargetMode="External"/><Relationship Id="rId12" Type="http://schemas.openxmlformats.org/officeDocument/2006/relationships/hyperlink" Target="act:519717%2073164911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act:600469%200" TargetMode="External"/><Relationship Id="rId5" Type="http://schemas.openxmlformats.org/officeDocument/2006/relationships/hyperlink" Target="javascript:fisa_act;" TargetMode="External"/><Relationship Id="rId15" Type="http://schemas.openxmlformats.org/officeDocument/2006/relationships/theme" Target="theme/theme1.xml"/><Relationship Id="rId10" Type="http://schemas.openxmlformats.org/officeDocument/2006/relationships/hyperlink" Target="act:136889%2043860080" TargetMode="External"/><Relationship Id="rId4" Type="http://schemas.openxmlformats.org/officeDocument/2006/relationships/hyperlink" Target="dataIncarcare:" TargetMode="External"/><Relationship Id="rId9" Type="http://schemas.openxmlformats.org/officeDocument/2006/relationships/hyperlink" Target="act:764508%2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39988EA48CF4CB8D699C04E93A2C0" ma:contentTypeVersion="0" ma:contentTypeDescription="Creați un document nou." ma:contentTypeScope="" ma:versionID="ad862e61dc220b54a811e55819c32d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8AA3B-1774-448A-BDDB-194E6940D10F}"/>
</file>

<file path=customXml/itemProps2.xml><?xml version="1.0" encoding="utf-8"?>
<ds:datastoreItem xmlns:ds="http://schemas.openxmlformats.org/officeDocument/2006/customXml" ds:itemID="{960B97EE-25FB-4833-9BC9-91CAB88B4EB6}"/>
</file>

<file path=customXml/itemProps3.xml><?xml version="1.0" encoding="utf-8"?>
<ds:datastoreItem xmlns:ds="http://schemas.openxmlformats.org/officeDocument/2006/customXml" ds:itemID="{A30F3EF6-A684-49A9-B56A-2A4F231F7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Voinea (Fulina)</dc:creator>
  <cp:keywords/>
  <dc:description/>
  <cp:lastModifiedBy>Manuela Voinea (Fulina)</cp:lastModifiedBy>
  <cp:revision>1</cp:revision>
  <dcterms:created xsi:type="dcterms:W3CDTF">2022-01-27T12:17:00Z</dcterms:created>
  <dcterms:modified xsi:type="dcterms:W3CDTF">2022-01-27T12:19:00Z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0x01010053039988EA48CF4CB8D699C04E93A2C0</vt:lpwstr>
  </property>
</Properties>
</file>