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3"/>
        <w:gridCol w:w="903"/>
      </w:tblGrid>
      <w:tr w:rsidR="00B20AF7" w:rsidRPr="00B20AF7" w:rsidTr="00B20AF7"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20AF7" w:rsidRPr="00B20AF7" w:rsidRDefault="00B20AF7" w:rsidP="00B20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Ordinul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nr. 706/2015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pentru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modificarea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Ordinului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ministrului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transporturilor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şi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infrastructurii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nr. 249/2011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privind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inspecţia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supravegherea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tehnică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şi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certificarea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navelor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maritime care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arborează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pavilionul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român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şi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efectuează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voiajuri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>internaţionale</w:t>
            </w:r>
            <w:proofErr w:type="spellEnd"/>
            <w:r w:rsidRPr="00B20AF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  </w:t>
            </w:r>
          </w:p>
          <w:p w:rsidR="00B20AF7" w:rsidRPr="00B20AF7" w:rsidRDefault="00B20AF7" w:rsidP="00B20AF7">
            <w:pPr>
              <w:spacing w:after="26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B20AF7" w:rsidRPr="00B20AF7" w:rsidRDefault="00B20AF7" w:rsidP="00B20A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vigoare</w:t>
            </w:r>
            <w:proofErr w:type="spellEnd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de la 01 </w:t>
            </w:r>
            <w:proofErr w:type="spellStart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ianuarie</w:t>
            </w:r>
            <w:proofErr w:type="spellEnd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2016</w:t>
            </w:r>
          </w:p>
          <w:p w:rsidR="00B20AF7" w:rsidRPr="00B20AF7" w:rsidRDefault="00B20AF7" w:rsidP="00B20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  <w:p w:rsidR="00B20AF7" w:rsidRPr="00B20AF7" w:rsidRDefault="00B20AF7" w:rsidP="00B20AF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</w:pPr>
            <w:proofErr w:type="spellStart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Publicat</w:t>
            </w:r>
            <w:proofErr w:type="spellEnd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în</w:t>
            </w:r>
            <w:proofErr w:type="spellEnd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Monitorul</w:t>
            </w:r>
            <w:proofErr w:type="spellEnd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Oficial</w:t>
            </w:r>
            <w:proofErr w:type="spellEnd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Partea</w:t>
            </w:r>
            <w:proofErr w:type="spellEnd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I nr. 411 din 10 </w:t>
            </w:r>
            <w:proofErr w:type="spellStart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iunie</w:t>
            </w:r>
            <w:proofErr w:type="spellEnd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2015. </w:t>
            </w:r>
            <w:proofErr w:type="spellStart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Formă</w:t>
            </w:r>
            <w:proofErr w:type="spellEnd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aplicabilă</w:t>
            </w:r>
            <w:proofErr w:type="spellEnd"/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 xml:space="preserve"> la </w:t>
            </w:r>
            <w:hyperlink r:id="rId4" w:history="1">
              <w:r w:rsidRPr="00B20AF7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15 </w:t>
              </w:r>
              <w:proofErr w:type="spellStart"/>
              <w:r w:rsidRPr="00B20AF7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>ianuarie</w:t>
              </w:r>
              <w:proofErr w:type="spellEnd"/>
              <w:r w:rsidRPr="00B20AF7">
                <w:rPr>
                  <w:rFonts w:ascii="Arial" w:eastAsia="Times New Roman" w:hAnsi="Arial" w:cs="Arial"/>
                  <w:i/>
                  <w:iCs/>
                  <w:color w:val="008000"/>
                  <w:sz w:val="26"/>
                  <w:szCs w:val="26"/>
                  <w:lang w:val="en-US"/>
                </w:rPr>
                <w:t xml:space="preserve"> 2022</w:t>
              </w:r>
            </w:hyperlink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t>.</w:t>
            </w:r>
            <w:r w:rsidRPr="00B20AF7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val="en-US"/>
              </w:rPr>
              <w:br/>
            </w:r>
          </w:p>
          <w:p w:rsidR="00B20AF7" w:rsidRPr="00B20AF7" w:rsidRDefault="00B20AF7" w:rsidP="00B20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00" w:type="pc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20AF7" w:rsidRPr="00B20AF7" w:rsidRDefault="00B20AF7" w:rsidP="00B20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</w:tr>
    </w:tbl>
    <w:p w:rsidR="00B20AF7" w:rsidRPr="00B20AF7" w:rsidRDefault="00B20AF7" w:rsidP="00B20AF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</w:pPr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   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Având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vedere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prevederile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hyperlink r:id="rId5" w:history="1">
        <w:r w:rsidRPr="00B20AF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art. 2</w:t>
        </w:r>
      </w:hyperlink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Legea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nr. 157/2005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pentru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ratificarea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hyperlink r:id="rId6" w:history="1">
        <w:proofErr w:type="spellStart"/>
        <w:r w:rsidRPr="00B20AF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Tratatului</w:t>
        </w:r>
        <w:proofErr w:type="spellEnd"/>
      </w:hyperlink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dintre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Regatul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Belgiei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Cehă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Regatul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Danemarcei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Federală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Germania,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Estonia,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Elenă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Regatul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Spaniei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Franceză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Irlanda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Italiană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Cipru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Letonia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Lituania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Marele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Ducat al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Luxemburgului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Ungară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Malta,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Regatul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Ţărilor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Jos,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Austria,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Polonă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Portugheză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Slovenia,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Slovacă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Finlanda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Regatul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Suediei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Regatul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Unit al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Marii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Britanii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Irlandei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Nord (state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membre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ale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Uniunii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Europene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)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Bulgaria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România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aderarea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Republicii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Bulgaria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României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la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Uniunea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Europeană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semnat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de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România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la Luxemburg la 25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aprilie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2005,  </w:t>
      </w:r>
    </w:p>
    <w:p w:rsidR="00B20AF7" w:rsidRPr="00B20AF7" w:rsidRDefault="00B20AF7" w:rsidP="00B20AF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</w:pPr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   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în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temeiul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prevederilor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art. 13 </w:t>
      </w:r>
      <w:hyperlink r:id="rId7" w:history="1">
        <w:proofErr w:type="spellStart"/>
        <w:r w:rsidRPr="00B20AF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alin</w:t>
        </w:r>
        <w:proofErr w:type="spellEnd"/>
        <w:r w:rsidRPr="00B20AF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. (1)</w:t>
        </w:r>
      </w:hyperlink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hyperlink r:id="rId8" w:history="1">
        <w:r w:rsidRPr="00B20AF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(2)</w:t>
        </w:r>
      </w:hyperlink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Ordonanţa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Guvernului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hyperlink r:id="rId9" w:history="1">
        <w:r w:rsidRPr="00B20AF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nr. 19/1997</w:t>
        </w:r>
      </w:hyperlink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transporturile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republicată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cu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modificările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completările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ulterioare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ale art. 5 </w:t>
      </w:r>
      <w:hyperlink r:id="rId10" w:history="1">
        <w:proofErr w:type="spellStart"/>
        <w:r w:rsidRPr="00B20AF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alin</w:t>
        </w:r>
        <w:proofErr w:type="spellEnd"/>
        <w:r w:rsidRPr="00B20AF7">
          <w:rPr>
            <w:rFonts w:ascii="Arial" w:eastAsia="Times New Roman" w:hAnsi="Arial" w:cs="Arial"/>
            <w:i/>
            <w:iCs/>
            <w:color w:val="0000FF"/>
            <w:sz w:val="26"/>
            <w:szCs w:val="26"/>
            <w:lang w:val="en-US"/>
          </w:rPr>
          <w:t>. (4)</w:t>
        </w:r>
      </w:hyperlink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din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Hotărârea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Guvernului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nr. 21/2015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privind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organizarea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funcţionarea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Ministerului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Transporturilor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, cu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modificările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ulterioare</w:t>
      </w:r>
      <w:proofErr w:type="spellEnd"/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t>,</w:t>
      </w:r>
      <w:r w:rsidRPr="00B20AF7">
        <w:rPr>
          <w:rFonts w:ascii="Arial" w:eastAsia="Times New Roman" w:hAnsi="Arial" w:cs="Arial"/>
          <w:i/>
          <w:iCs/>
          <w:color w:val="000000"/>
          <w:sz w:val="26"/>
          <w:szCs w:val="26"/>
          <w:lang w:val="en-US"/>
        </w:rPr>
        <w:br/>
        <w:t xml:space="preserve">  </w:t>
      </w:r>
    </w:p>
    <w:p w:rsidR="00B20AF7" w:rsidRPr="00B20AF7" w:rsidRDefault="00B20AF7" w:rsidP="00B20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emite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următorul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:</w:t>
      </w: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B20AF7" w:rsidRPr="00B20AF7" w:rsidRDefault="00B20AF7" w:rsidP="00B20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B20AF7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I. -</w:t>
      </w: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Articolul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alineatul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(1) </w:t>
      </w:r>
      <w:hyperlink r:id="rId11" w:history="1">
        <w:proofErr w:type="spellStart"/>
        <w:r w:rsidRPr="00B20AF7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litera</w:t>
        </w:r>
        <w:proofErr w:type="spellEnd"/>
        <w:r w:rsidRPr="00B20AF7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 xml:space="preserve"> f)</w:t>
        </w:r>
      </w:hyperlink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Ordinul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ministrului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infrastructurii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2" w:history="1">
        <w:r w:rsidRPr="00B20AF7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nr. 249/2011</w:t>
        </w:r>
      </w:hyperlink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privind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inspecţia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supravegherea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tehnică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certificarea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navelor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maritime care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arborează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pavilionul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efectuează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voiajuri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internaţionale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I, nr. 263 din 14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aprilie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2011, se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va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avea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următorul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cuprins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:  </w:t>
      </w:r>
    </w:p>
    <w:p w:rsidR="00B20AF7" w:rsidRPr="00B20AF7" w:rsidRDefault="00B20AF7" w:rsidP="00B20AF7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" </w:t>
      </w:r>
      <w:r w:rsidRPr="00B20AF7">
        <w:rPr>
          <w:rFonts w:ascii="Arial" w:eastAsia="Times New Roman" w:hAnsi="Arial" w:cs="Arial"/>
          <w:b/>
          <w:bCs/>
          <w:color w:val="808000"/>
          <w:sz w:val="26"/>
          <w:szCs w:val="26"/>
          <w:shd w:val="clear" w:color="auto" w:fill="E0E0F0"/>
          <w:lang w:val="en-US"/>
        </w:rPr>
        <w:t>f)</w:t>
      </w:r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convenţii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internaţionale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- </w:t>
      </w:r>
      <w:hyperlink r:id="rId13" w:history="1">
        <w:proofErr w:type="spellStart"/>
        <w:r w:rsidRPr="00B20AF7">
          <w:rPr>
            <w:rFonts w:ascii="Arial" w:eastAsia="Times New Roman" w:hAnsi="Arial" w:cs="Arial"/>
            <w:color w:val="0000FF"/>
            <w:sz w:val="26"/>
            <w:szCs w:val="26"/>
            <w:shd w:val="clear" w:color="auto" w:fill="E0E0F0"/>
            <w:lang w:val="en-US"/>
          </w:rPr>
          <w:t>Convenţia</w:t>
        </w:r>
        <w:proofErr w:type="spellEnd"/>
      </w:hyperlink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internaţională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pentru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ocrotirea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vieţii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omeneşti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pe mare din 1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noiembrie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1974 (SOLAS 74), la care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România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a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aderat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prin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Decretul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Consiliului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de Stat </w:t>
      </w:r>
      <w:hyperlink r:id="rId14" w:history="1">
        <w:r w:rsidRPr="00B20AF7">
          <w:rPr>
            <w:rFonts w:ascii="Arial" w:eastAsia="Times New Roman" w:hAnsi="Arial" w:cs="Arial"/>
            <w:color w:val="0000FF"/>
            <w:sz w:val="26"/>
            <w:szCs w:val="26"/>
            <w:shd w:val="clear" w:color="auto" w:fill="E0E0F0"/>
            <w:lang w:val="en-US"/>
          </w:rPr>
          <w:t>nr. 80/1979</w:t>
        </w:r>
      </w:hyperlink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, cu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excepţia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capitolului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XI-2 din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anexa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la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aceasta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, </w:t>
      </w:r>
      <w:hyperlink r:id="rId15" w:history="1">
        <w:proofErr w:type="spellStart"/>
        <w:r w:rsidRPr="00B20AF7">
          <w:rPr>
            <w:rFonts w:ascii="Arial" w:eastAsia="Times New Roman" w:hAnsi="Arial" w:cs="Arial"/>
            <w:color w:val="0000FF"/>
            <w:sz w:val="26"/>
            <w:szCs w:val="26"/>
            <w:shd w:val="clear" w:color="auto" w:fill="E0E0F0"/>
            <w:lang w:val="en-US"/>
          </w:rPr>
          <w:t>Convenţia</w:t>
        </w:r>
        <w:proofErr w:type="spellEnd"/>
      </w:hyperlink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internaţională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asupra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liniilor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încărcare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din 5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aprilie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1966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hyperlink r:id="rId16" w:history="1">
        <w:proofErr w:type="spellStart"/>
        <w:r w:rsidRPr="00B20AF7">
          <w:rPr>
            <w:rFonts w:ascii="Arial" w:eastAsia="Times New Roman" w:hAnsi="Arial" w:cs="Arial"/>
            <w:color w:val="0000FF"/>
            <w:sz w:val="26"/>
            <w:szCs w:val="26"/>
            <w:shd w:val="clear" w:color="auto" w:fill="E0E0F0"/>
            <w:lang w:val="en-US"/>
          </w:rPr>
          <w:t>Convenţia</w:t>
        </w:r>
        <w:proofErr w:type="spellEnd"/>
      </w:hyperlink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internaţională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pentru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prevenirea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poluării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către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nave din 2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noiembrie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1973 (MARPOL), la care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România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a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aderat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prin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Legea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hyperlink r:id="rId17" w:history="1">
        <w:r w:rsidRPr="00B20AF7">
          <w:rPr>
            <w:rFonts w:ascii="Arial" w:eastAsia="Times New Roman" w:hAnsi="Arial" w:cs="Arial"/>
            <w:color w:val="0000FF"/>
            <w:sz w:val="26"/>
            <w:szCs w:val="26"/>
            <w:shd w:val="clear" w:color="auto" w:fill="E0E0F0"/>
            <w:lang w:val="en-US"/>
          </w:rPr>
          <w:t>nr. 6/1993</w:t>
        </w:r>
      </w:hyperlink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împreună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cu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protocoalele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modificările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aduse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acestora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codurile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conexe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cu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statut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obligatoriu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din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toate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statele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membre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, cu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excepţia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celor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lastRenderedPageBreak/>
        <w:t>prevăzute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la pct. 16.1, 18.1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19 din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partea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2 a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Codului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aplicare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a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instrumentelor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Organizaţiei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Maritime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Internaţionale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(OMI), precum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din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secţiunile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1.1, 1.3, 3.9.3.1, 3.9.3.2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3.9.3.3 din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partea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2 a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Codului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Organizaţiei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Maritime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Internaţionale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(OMI)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pentru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organizaţiile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recunoscute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în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versiunea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>actualizată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shd w:val="clear" w:color="auto" w:fill="E0E0F0"/>
          <w:lang w:val="en-US"/>
        </w:rPr>
        <w:t xml:space="preserve">."  </w:t>
      </w:r>
    </w:p>
    <w:p w:rsidR="00B20AF7" w:rsidRPr="00B20AF7" w:rsidRDefault="00B20AF7" w:rsidP="00B20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B20AF7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II. -</w:t>
      </w: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Autoritatea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Navală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prevederile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prezentului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începând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 data de 1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ianuarie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2016.  </w:t>
      </w:r>
    </w:p>
    <w:p w:rsidR="00B20AF7" w:rsidRPr="00B20AF7" w:rsidRDefault="00B20AF7" w:rsidP="00B20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B20AF7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III. -</w:t>
      </w: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 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Ministerul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Transporturilor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va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comunica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Comisiei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Europene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textul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prezentului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care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demonstrează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transpunerea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Directivei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punere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aplicare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8" w:history="1">
        <w:r w:rsidRPr="00B20AF7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2014/111/UE</w:t>
        </w:r>
      </w:hyperlink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Comisiei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17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decembrie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2014 de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modificare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Directivei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19" w:history="1">
        <w:r w:rsidRPr="00B20AF7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2009/15/CE</w:t>
        </w:r>
      </w:hyperlink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privire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adoptarea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către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Organizaţia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Maritimă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Internaţională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(OMI) a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anumitor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coduri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modificărilor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aferente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aduse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anumitor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convenţii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protocoale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precum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textele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principalelor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dispoziţii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drept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intern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adoptate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domeniul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reglementat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aceasta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.  </w:t>
      </w:r>
    </w:p>
    <w:p w:rsidR="00B20AF7" w:rsidRPr="00B20AF7" w:rsidRDefault="00B20AF7" w:rsidP="00B20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B20AF7">
        <w:rPr>
          <w:rFonts w:ascii="Arial" w:eastAsia="Times New Roman" w:hAnsi="Arial" w:cs="Arial"/>
          <w:b/>
          <w:bCs/>
          <w:color w:val="008000"/>
          <w:sz w:val="26"/>
          <w:szCs w:val="26"/>
          <w:lang w:val="en-US"/>
        </w:rPr>
        <w:t>Art. IV. -</w:t>
      </w: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se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Monitorul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României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Partea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I. </w:t>
      </w: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</w: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B20AF7" w:rsidRPr="00B20AF7" w:rsidRDefault="00B20AF7" w:rsidP="00B20A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* </w:t>
      </w: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B20AF7" w:rsidRPr="00B20AF7" w:rsidRDefault="00B20AF7" w:rsidP="00B20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Prezentul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ordin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transpune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Directiva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punere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aplicare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20" w:history="1">
        <w:r w:rsidRPr="00B20AF7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2014/111/UE</w:t>
        </w:r>
      </w:hyperlink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Comisiei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din 17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decembrie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2014 de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modificare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Directivei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hyperlink r:id="rId21" w:history="1">
        <w:r w:rsidRPr="00B20AF7">
          <w:rPr>
            <w:rFonts w:ascii="Arial" w:eastAsia="Times New Roman" w:hAnsi="Arial" w:cs="Arial"/>
            <w:color w:val="0000FF"/>
            <w:sz w:val="26"/>
            <w:szCs w:val="26"/>
            <w:lang w:val="en-US"/>
          </w:rPr>
          <w:t>2009/15/CE</w:t>
        </w:r>
      </w:hyperlink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cu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privire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la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adoptarea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de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către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Organizaţia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Maritimă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Internaţională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(OMI) a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anumitor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coduri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modificărilor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aferente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aduse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anumitor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convenţii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şi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protocoale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publicată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în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Jurnalul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Oficial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al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Uniunii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Europene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seria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L, nr. 366 din 20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decembrie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2014.</w:t>
      </w: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br/>
        <w:t xml:space="preserve">  </w:t>
      </w:r>
    </w:p>
    <w:p w:rsidR="00B20AF7" w:rsidRPr="00B20AF7" w:rsidRDefault="00B20AF7" w:rsidP="00B20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tbl>
      <w:tblPr>
        <w:tblW w:w="23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205"/>
        <w:gridCol w:w="113"/>
      </w:tblGrid>
      <w:tr w:rsidR="00B20AF7" w:rsidRPr="00B20AF7" w:rsidTr="00B20AF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AF7" w:rsidRPr="00B20AF7" w:rsidRDefault="00B20AF7" w:rsidP="00B20A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0AF7" w:rsidRPr="00B20AF7" w:rsidRDefault="00B20AF7" w:rsidP="00B2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0AF7" w:rsidRPr="00B20AF7" w:rsidRDefault="00B20AF7" w:rsidP="00B2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0AF7" w:rsidRPr="00B20AF7" w:rsidTr="00B20AF7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AF7" w:rsidRPr="00B20AF7" w:rsidRDefault="00B20AF7" w:rsidP="00B2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0AF7" w:rsidRPr="00B20AF7" w:rsidRDefault="00B20AF7" w:rsidP="00B20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 w:rsidRPr="00B20AF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Ministrul</w:t>
            </w:r>
            <w:proofErr w:type="spellEnd"/>
            <w:r w:rsidRPr="00B20AF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B20AF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transporturilor</w:t>
            </w:r>
            <w:proofErr w:type="spellEnd"/>
            <w:r w:rsidRPr="00B20AF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,</w:t>
            </w:r>
            <w:r w:rsidRPr="00B20AF7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  <w:t>Ioan 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20AF7" w:rsidRPr="00B20AF7" w:rsidRDefault="00B20AF7" w:rsidP="00B20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</w:tbl>
    <w:p w:rsidR="00B20AF7" w:rsidRPr="00B20AF7" w:rsidRDefault="00B20AF7" w:rsidP="00B20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</w:p>
    <w:p w:rsidR="00B20AF7" w:rsidRPr="00B20AF7" w:rsidRDefault="00B20AF7" w:rsidP="00B20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Bucureşti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, 2 </w:t>
      </w:r>
      <w:proofErr w:type="spellStart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>iunie</w:t>
      </w:r>
      <w:proofErr w:type="spellEnd"/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2015.  </w:t>
      </w:r>
    </w:p>
    <w:p w:rsidR="00B20AF7" w:rsidRPr="00B20AF7" w:rsidRDefault="00B20AF7" w:rsidP="00B20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en-US"/>
        </w:rPr>
      </w:pPr>
      <w:r w:rsidRPr="00B20AF7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    Nr. 706.  </w:t>
      </w:r>
    </w:p>
    <w:p w:rsidR="00F31BBA" w:rsidRDefault="00F31BBA"/>
    <w:sectPr w:rsidR="00F31BBA" w:rsidSect="00885FF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F7"/>
    <w:rsid w:val="00602C81"/>
    <w:rsid w:val="00885FF0"/>
    <w:rsid w:val="00B20AF7"/>
    <w:rsid w:val="00F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AA7F"/>
  <w15:chartTrackingRefBased/>
  <w15:docId w15:val="{2D75911C-0C4F-48CB-B14F-EA82C7AA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0AF7"/>
    <w:rPr>
      <w:color w:val="0000FF"/>
      <w:u w:val="single"/>
    </w:rPr>
  </w:style>
  <w:style w:type="character" w:customStyle="1" w:styleId="l5tlu1">
    <w:name w:val="l5tlu1"/>
    <w:basedOn w:val="DefaultParagraphFont"/>
    <w:rsid w:val="00B20AF7"/>
    <w:rPr>
      <w:b/>
      <w:bCs/>
      <w:color w:val="000000"/>
      <w:sz w:val="32"/>
      <w:szCs w:val="32"/>
    </w:rPr>
  </w:style>
  <w:style w:type="character" w:customStyle="1" w:styleId="l5prm1">
    <w:name w:val="l5prm1"/>
    <w:basedOn w:val="DefaultParagraphFont"/>
    <w:rsid w:val="00B20AF7"/>
    <w:rPr>
      <w:i/>
      <w:iCs/>
      <w:color w:val="000000"/>
      <w:sz w:val="26"/>
      <w:szCs w:val="26"/>
    </w:rPr>
  </w:style>
  <w:style w:type="character" w:customStyle="1" w:styleId="l5prm2">
    <w:name w:val="l5prm2"/>
    <w:basedOn w:val="DefaultParagraphFont"/>
    <w:rsid w:val="00B20AF7"/>
    <w:rPr>
      <w:i/>
      <w:iCs/>
      <w:color w:val="000000"/>
      <w:sz w:val="26"/>
      <w:szCs w:val="26"/>
    </w:rPr>
  </w:style>
  <w:style w:type="character" w:customStyle="1" w:styleId="l5def1">
    <w:name w:val="l5def1"/>
    <w:basedOn w:val="DefaultParagraphFont"/>
    <w:rsid w:val="00B20AF7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20AF7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20AF7"/>
    <w:rPr>
      <w:rFonts w:ascii="Arial" w:hAnsi="Arial" w:cs="Arial" w:hint="default"/>
      <w:color w:val="000000"/>
      <w:sz w:val="26"/>
      <w:szCs w:val="26"/>
    </w:rPr>
  </w:style>
  <w:style w:type="character" w:customStyle="1" w:styleId="l5ghi1">
    <w:name w:val="l5ghi1"/>
    <w:basedOn w:val="DefaultParagraphFont"/>
    <w:rsid w:val="00B20AF7"/>
    <w:rPr>
      <w:color w:val="000000"/>
      <w:sz w:val="26"/>
      <w:szCs w:val="26"/>
    </w:rPr>
  </w:style>
  <w:style w:type="character" w:customStyle="1" w:styleId="l5ghi10">
    <w:name w:val="l5_ghi1"/>
    <w:basedOn w:val="DefaultParagraphFont"/>
    <w:rsid w:val="00B20AF7"/>
    <w:rPr>
      <w:sz w:val="26"/>
      <w:szCs w:val="26"/>
      <w:shd w:val="clear" w:color="auto" w:fill="E0E0F0"/>
    </w:rPr>
  </w:style>
  <w:style w:type="character" w:customStyle="1" w:styleId="l5ghi2">
    <w:name w:val="l5_ghi2"/>
    <w:basedOn w:val="DefaultParagraphFont"/>
    <w:rsid w:val="00B20AF7"/>
    <w:rPr>
      <w:sz w:val="26"/>
      <w:szCs w:val="26"/>
      <w:shd w:val="clear" w:color="auto" w:fill="E0E0F0"/>
    </w:rPr>
  </w:style>
  <w:style w:type="character" w:customStyle="1" w:styleId="l5def6">
    <w:name w:val="l5def6"/>
    <w:basedOn w:val="DefaultParagraphFont"/>
    <w:rsid w:val="00B20AF7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20AF7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20AF7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20AF7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20AF7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20AF7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20AF7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20AF7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20AF7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20AF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3059%2010106556" TargetMode="External"/><Relationship Id="rId13" Type="http://schemas.openxmlformats.org/officeDocument/2006/relationships/hyperlink" Target="act:94540%200" TargetMode="External"/><Relationship Id="rId18" Type="http://schemas.openxmlformats.org/officeDocument/2006/relationships/hyperlink" Target="act:409762%200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act:280503%200" TargetMode="External"/><Relationship Id="rId7" Type="http://schemas.openxmlformats.org/officeDocument/2006/relationships/hyperlink" Target="act:13059%2010106555" TargetMode="External"/><Relationship Id="rId12" Type="http://schemas.openxmlformats.org/officeDocument/2006/relationships/hyperlink" Target="act:147791%200" TargetMode="External"/><Relationship Id="rId17" Type="http://schemas.openxmlformats.org/officeDocument/2006/relationships/hyperlink" Target="act:58701%200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act:94217%200" TargetMode="External"/><Relationship Id="rId20" Type="http://schemas.openxmlformats.org/officeDocument/2006/relationships/hyperlink" Target="act:409762%200" TargetMode="External"/><Relationship Id="rId1" Type="http://schemas.openxmlformats.org/officeDocument/2006/relationships/styles" Target="styles.xml"/><Relationship Id="rId6" Type="http://schemas.openxmlformats.org/officeDocument/2006/relationships/hyperlink" Target="act:97376%200" TargetMode="External"/><Relationship Id="rId11" Type="http://schemas.openxmlformats.org/officeDocument/2006/relationships/hyperlink" Target="act:147791%2048882307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act:69295%2013179039" TargetMode="External"/><Relationship Id="rId15" Type="http://schemas.openxmlformats.org/officeDocument/2006/relationships/hyperlink" Target="act:94010%200" TargetMode="External"/><Relationship Id="rId23" Type="http://schemas.openxmlformats.org/officeDocument/2006/relationships/theme" Target="theme/theme1.xml"/><Relationship Id="rId10" Type="http://schemas.openxmlformats.org/officeDocument/2006/relationships/hyperlink" Target="act:519717%2073164911" TargetMode="External"/><Relationship Id="rId19" Type="http://schemas.openxmlformats.org/officeDocument/2006/relationships/hyperlink" Target="act:280503%200" TargetMode="External"/><Relationship Id="rId4" Type="http://schemas.openxmlformats.org/officeDocument/2006/relationships/hyperlink" Target="dataIncarcare:" TargetMode="External"/><Relationship Id="rId9" Type="http://schemas.openxmlformats.org/officeDocument/2006/relationships/hyperlink" Target="act:13059%200" TargetMode="External"/><Relationship Id="rId14" Type="http://schemas.openxmlformats.org/officeDocument/2006/relationships/hyperlink" Target="act:96755%2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39988EA48CF4CB8D699C04E93A2C0" ma:contentTypeVersion="0" ma:contentTypeDescription="Creați un document nou." ma:contentTypeScope="" ma:versionID="ad862e61dc220b54a811e55819c32d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9E77C-3719-4AFF-AF4E-4D3883D28407}"/>
</file>

<file path=customXml/itemProps2.xml><?xml version="1.0" encoding="utf-8"?>
<ds:datastoreItem xmlns:ds="http://schemas.openxmlformats.org/officeDocument/2006/customXml" ds:itemID="{FAFA8846-2EFC-4101-89B3-72DC24249BE4}"/>
</file>

<file path=customXml/itemProps3.xml><?xml version="1.0" encoding="utf-8"?>
<ds:datastoreItem xmlns:ds="http://schemas.openxmlformats.org/officeDocument/2006/customXml" ds:itemID="{DF14480A-2DA7-4637-AF4A-E7BF4DAA9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Voinea (Fulina)</dc:creator>
  <cp:keywords/>
  <dc:description/>
  <cp:lastModifiedBy>Manuela Voinea (Fulina)</cp:lastModifiedBy>
  <cp:revision>1</cp:revision>
  <dcterms:created xsi:type="dcterms:W3CDTF">2022-01-27T12:05:00Z</dcterms:created>
  <dcterms:modified xsi:type="dcterms:W3CDTF">2022-01-27T12:06:00Z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0x01010053039988EA48CF4CB8D699C04E93A2C0</vt:lpwstr>
  </property>
</Properties>
</file>